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97CD" w14:textId="77777777" w:rsidR="00C263C2" w:rsidRDefault="00C263C2" w:rsidP="00C263C2">
      <w:pPr>
        <w:spacing w:after="0"/>
        <w:rPr>
          <w:noProof/>
          <w:lang w:eastAsia="en-AU"/>
        </w:rPr>
      </w:pPr>
    </w:p>
    <w:p w14:paraId="0F2D41A2" w14:textId="77777777" w:rsidR="00C263C2" w:rsidRDefault="00C263C2" w:rsidP="00C263C2">
      <w:pPr>
        <w:spacing w:after="0"/>
        <w:rPr>
          <w:noProof/>
          <w:lang w:eastAsia="en-AU"/>
        </w:rPr>
      </w:pPr>
      <w:r>
        <w:rPr>
          <w:noProof/>
        </w:rPr>
        <w:drawing>
          <wp:inline distT="0" distB="0" distL="0" distR="0" wp14:anchorId="4369A298" wp14:editId="76F42555">
            <wp:extent cx="4066667" cy="819048"/>
            <wp:effectExtent l="0" t="0" r="0" b="635"/>
            <wp:docPr id="7" name="Picture 7" title="Women with Disabiliti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DV logo 22.1 KB small.png"/>
                    <pic:cNvPicPr/>
                  </pic:nvPicPr>
                  <pic:blipFill>
                    <a:blip r:embed="rId8">
                      <a:extLst>
                        <a:ext uri="{28A0092B-C50C-407E-A947-70E740481C1C}">
                          <a14:useLocalDpi xmlns:a14="http://schemas.microsoft.com/office/drawing/2010/main" val="0"/>
                        </a:ext>
                      </a:extLst>
                    </a:blip>
                    <a:stretch>
                      <a:fillRect/>
                    </a:stretch>
                  </pic:blipFill>
                  <pic:spPr>
                    <a:xfrm>
                      <a:off x="0" y="0"/>
                      <a:ext cx="4066667" cy="819048"/>
                    </a:xfrm>
                    <a:prstGeom prst="rect">
                      <a:avLst/>
                    </a:prstGeom>
                  </pic:spPr>
                </pic:pic>
              </a:graphicData>
            </a:graphic>
          </wp:inline>
        </w:drawing>
      </w:r>
    </w:p>
    <w:p w14:paraId="563B9321" w14:textId="77777777" w:rsidR="00C263C2" w:rsidRPr="009D21FE" w:rsidRDefault="00FF3499" w:rsidP="009D21FE">
      <w:pPr>
        <w:pStyle w:val="Heading1"/>
        <w:rPr>
          <w:rFonts w:asciiTheme="minorHAnsi" w:hAnsiTheme="minorHAnsi"/>
          <w:b/>
          <w:sz w:val="36"/>
          <w:szCs w:val="36"/>
        </w:rPr>
      </w:pPr>
      <w:bookmarkStart w:id="0" w:name="_Toc485716428"/>
      <w:bookmarkStart w:id="1" w:name="_Toc485716427"/>
      <w:r>
        <w:br/>
      </w:r>
      <w:bookmarkStart w:id="2" w:name="_Toc535489844"/>
      <w:r w:rsidR="00C263C2" w:rsidRPr="009D21FE">
        <w:rPr>
          <w:rFonts w:asciiTheme="minorHAnsi" w:hAnsiTheme="minorHAnsi"/>
          <w:b/>
          <w:color w:val="7030A0"/>
          <w:sz w:val="36"/>
          <w:szCs w:val="36"/>
        </w:rPr>
        <w:t xml:space="preserve">Submission to </w:t>
      </w:r>
      <w:bookmarkEnd w:id="0"/>
      <w:bookmarkEnd w:id="1"/>
      <w:r w:rsidR="00C263C2" w:rsidRPr="009D21FE">
        <w:rPr>
          <w:rFonts w:asciiTheme="minorHAnsi" w:hAnsiTheme="minorHAnsi"/>
          <w:b/>
          <w:color w:val="7030A0"/>
          <w:sz w:val="36"/>
          <w:szCs w:val="36"/>
        </w:rPr>
        <w:t>Royal Commission into Mental Health Terms of Reference Consultation</w:t>
      </w:r>
      <w:bookmarkEnd w:id="2"/>
    </w:p>
    <w:p w14:paraId="46884A6E" w14:textId="77777777" w:rsidR="00C263C2" w:rsidRPr="0012070B" w:rsidRDefault="00C263C2" w:rsidP="00C263C2"/>
    <w:p w14:paraId="759C37F2" w14:textId="77777777" w:rsidR="00C263C2" w:rsidRDefault="00C263C2" w:rsidP="00C263C2"/>
    <w:p w14:paraId="051B44E4" w14:textId="77777777" w:rsidR="00C263C2" w:rsidRPr="0012070B" w:rsidRDefault="00C263C2" w:rsidP="00C263C2"/>
    <w:p w14:paraId="022E899E" w14:textId="391CA08A" w:rsidR="00C263C2" w:rsidRPr="0012070B" w:rsidRDefault="00B80A2E" w:rsidP="00C263C2">
      <w:r w:rsidRPr="00B80A2E">
        <w:t xml:space="preserve">24 </w:t>
      </w:r>
      <w:r>
        <w:t>January 2019</w:t>
      </w:r>
    </w:p>
    <w:p w14:paraId="4E621B02" w14:textId="77777777" w:rsidR="00C263C2" w:rsidRDefault="00C263C2" w:rsidP="00C263C2"/>
    <w:p w14:paraId="24B306CE" w14:textId="77777777" w:rsidR="00C263C2" w:rsidRDefault="00C263C2" w:rsidP="00C263C2"/>
    <w:p w14:paraId="0318C69C" w14:textId="77777777" w:rsidR="00C263C2" w:rsidRDefault="00C263C2" w:rsidP="00C263C2"/>
    <w:p w14:paraId="688803DE" w14:textId="77777777" w:rsidR="00C263C2" w:rsidRDefault="00C263C2" w:rsidP="00C263C2"/>
    <w:p w14:paraId="45095A81" w14:textId="2A3EA969" w:rsidR="00FF3499" w:rsidRDefault="00FF3499" w:rsidP="00C263C2"/>
    <w:p w14:paraId="40F5F058" w14:textId="36123995" w:rsidR="00432BB9" w:rsidRDefault="00432BB9" w:rsidP="00C263C2"/>
    <w:p w14:paraId="7437EC42" w14:textId="206F85BB" w:rsidR="00432BB9" w:rsidRDefault="00432BB9" w:rsidP="00C263C2"/>
    <w:p w14:paraId="2BBB88DB" w14:textId="423B9828" w:rsidR="00432BB9" w:rsidRDefault="00432BB9" w:rsidP="00C263C2"/>
    <w:p w14:paraId="01275BF7" w14:textId="5DFFBC04" w:rsidR="006E5475" w:rsidRDefault="006E5475" w:rsidP="00C263C2"/>
    <w:p w14:paraId="12E1E533" w14:textId="77777777" w:rsidR="00C263C2" w:rsidRPr="00C65146" w:rsidRDefault="00C263C2" w:rsidP="00C263C2">
      <w:pPr>
        <w:spacing w:line="276" w:lineRule="auto"/>
        <w:rPr>
          <w:b/>
        </w:rPr>
      </w:pPr>
      <w:r w:rsidRPr="00671A0B">
        <w:rPr>
          <w:b/>
        </w:rPr>
        <w:t>Women with Disabilities Victoria</w:t>
      </w:r>
      <w:bookmarkStart w:id="3" w:name="_Toc485716430"/>
      <w:r>
        <w:rPr>
          <w:b/>
        </w:rPr>
        <w:br/>
      </w:r>
      <w:r w:rsidRPr="0012070B">
        <w:t>Level 9, 255 Bourke Street</w:t>
      </w:r>
      <w:bookmarkEnd w:id="3"/>
      <w:r w:rsidRPr="0012070B">
        <w:t xml:space="preserve"> </w:t>
      </w:r>
      <w:r>
        <w:rPr>
          <w:b/>
        </w:rPr>
        <w:br/>
      </w:r>
      <w:r w:rsidRPr="0012070B">
        <w:t xml:space="preserve">Melbourne 3001 </w:t>
      </w:r>
      <w:r>
        <w:rPr>
          <w:b/>
        </w:rPr>
        <w:br/>
      </w:r>
      <w:r w:rsidRPr="0012070B">
        <w:t xml:space="preserve">Phone 9286 7800 </w:t>
      </w:r>
      <w:r>
        <w:rPr>
          <w:b/>
        </w:rPr>
        <w:br/>
      </w:r>
      <w:hyperlink r:id="rId9" w:history="1">
        <w:r w:rsidRPr="00562DE5">
          <w:rPr>
            <w:rStyle w:val="Hyperlink"/>
            <w:color w:val="7030A0"/>
          </w:rPr>
          <w:t>www.wdv.org.au</w:t>
        </w:r>
      </w:hyperlink>
    </w:p>
    <w:p w14:paraId="7F22A34D" w14:textId="77777777" w:rsidR="00C263C2" w:rsidRPr="0012070B" w:rsidRDefault="00C263C2" w:rsidP="00C263C2">
      <w:pPr>
        <w:spacing w:line="276" w:lineRule="auto"/>
      </w:pPr>
    </w:p>
    <w:p w14:paraId="6EDFAFA4" w14:textId="3E9522A0" w:rsidR="00C263C2" w:rsidRPr="004A3489" w:rsidRDefault="00C263C2" w:rsidP="00C263C2">
      <w:pPr>
        <w:spacing w:line="276" w:lineRule="auto"/>
        <w:rPr>
          <w:b/>
        </w:rPr>
      </w:pPr>
      <w:bookmarkStart w:id="4" w:name="_Toc485716431"/>
      <w:r w:rsidRPr="004A3489">
        <w:rPr>
          <w:b/>
        </w:rPr>
        <w:t>Contact</w:t>
      </w:r>
      <w:bookmarkEnd w:id="4"/>
      <w:r w:rsidRPr="004A3489">
        <w:rPr>
          <w:b/>
        </w:rPr>
        <w:t>:</w:t>
      </w:r>
    </w:p>
    <w:p w14:paraId="288E39A3" w14:textId="77777777" w:rsidR="004A3489" w:rsidRPr="00432BB9" w:rsidRDefault="004A3489" w:rsidP="004A3489">
      <w:pPr>
        <w:shd w:val="clear" w:color="auto" w:fill="FFFFFF"/>
        <w:spacing w:before="40" w:after="40"/>
        <w:rPr>
          <w:rFonts w:cs="Arial"/>
          <w:b/>
          <w:lang w:val="en-AU" w:eastAsia="en-AU"/>
        </w:rPr>
      </w:pPr>
      <w:r w:rsidRPr="00432BB9">
        <w:rPr>
          <w:rFonts w:cs="Arial"/>
          <w:b/>
          <w:lang w:val="en-AU" w:eastAsia="en-AU"/>
        </w:rPr>
        <w:t>Leah van Poppel</w:t>
      </w:r>
    </w:p>
    <w:p w14:paraId="7345F3F5" w14:textId="77777777" w:rsidR="004A3489" w:rsidRPr="004A3489" w:rsidRDefault="004A3489" w:rsidP="004A3489">
      <w:pPr>
        <w:shd w:val="clear" w:color="auto" w:fill="FFFFFF"/>
        <w:spacing w:before="40" w:after="40"/>
        <w:rPr>
          <w:rFonts w:cs="Arial"/>
          <w:lang w:val="en-AU" w:eastAsia="en-AU"/>
        </w:rPr>
      </w:pPr>
      <w:r w:rsidRPr="004A3489">
        <w:rPr>
          <w:rFonts w:cs="Arial"/>
          <w:lang w:val="en-AU" w:eastAsia="en-AU"/>
        </w:rPr>
        <w:t xml:space="preserve">Chief Executive Officer </w:t>
      </w:r>
    </w:p>
    <w:p w14:paraId="0CF2F35B" w14:textId="4E1F17D2" w:rsidR="004A3489" w:rsidRPr="006E5475" w:rsidRDefault="006E5475" w:rsidP="00C263C2">
      <w:pPr>
        <w:spacing w:line="276" w:lineRule="auto"/>
      </w:pPr>
      <w:hyperlink r:id="rId10" w:history="1">
        <w:r w:rsidR="00432BB9" w:rsidRPr="004C788A">
          <w:rPr>
            <w:rStyle w:val="Hyperlink"/>
          </w:rPr>
          <w:t>leah.vanpoppel@wdv.org.au</w:t>
        </w:r>
      </w:hyperlink>
      <w:r w:rsidR="00432BB9">
        <w:t xml:space="preserve"> </w:t>
      </w:r>
    </w:p>
    <w:sdt>
      <w:sdtPr>
        <w:rPr>
          <w:rFonts w:asciiTheme="minorHAnsi" w:eastAsiaTheme="minorHAnsi" w:hAnsiTheme="minorHAnsi" w:cstheme="minorBidi"/>
          <w:color w:val="auto"/>
          <w:sz w:val="22"/>
          <w:szCs w:val="22"/>
        </w:rPr>
        <w:id w:val="-286653443"/>
        <w:docPartObj>
          <w:docPartGallery w:val="Table of Contents"/>
          <w:docPartUnique/>
        </w:docPartObj>
      </w:sdtPr>
      <w:sdtEndPr>
        <w:rPr>
          <w:b/>
          <w:bCs/>
          <w:noProof/>
        </w:rPr>
      </w:sdtEndPr>
      <w:sdtContent>
        <w:p w14:paraId="0E1623CC" w14:textId="77777777" w:rsidR="00C263C2" w:rsidRDefault="00C263C2">
          <w:pPr>
            <w:pStyle w:val="TOCHeading"/>
          </w:pPr>
          <w:r w:rsidRPr="004E7294">
            <w:rPr>
              <w:b/>
              <w:color w:val="7030A0"/>
            </w:rPr>
            <w:t>Contents</w:t>
          </w:r>
          <w:r w:rsidR="004E7294">
            <w:br/>
          </w:r>
        </w:p>
        <w:p w14:paraId="0267FD30" w14:textId="77777777" w:rsidR="008B1089" w:rsidRPr="008B1089" w:rsidRDefault="00C263C2">
          <w:pPr>
            <w:pStyle w:val="TOC1"/>
            <w:tabs>
              <w:tab w:val="right" w:leader="dot" w:pos="9350"/>
            </w:tabs>
            <w:rPr>
              <w:rFonts w:eastAsiaTheme="minorEastAsia"/>
              <w:noProof/>
            </w:rPr>
          </w:pPr>
          <w:r w:rsidRPr="008B1089">
            <w:fldChar w:fldCharType="begin"/>
          </w:r>
          <w:r w:rsidRPr="008B1089">
            <w:instrText xml:space="preserve"> TOC \o "1-3" \h \z \u </w:instrText>
          </w:r>
          <w:r w:rsidRPr="008B1089">
            <w:fldChar w:fldCharType="separate"/>
          </w:r>
          <w:hyperlink w:anchor="_Toc535489844" w:history="1">
            <w:r w:rsidR="008B1089" w:rsidRPr="008B1089">
              <w:rPr>
                <w:rStyle w:val="Hyperlink"/>
                <w:b/>
                <w:noProof/>
                <w:color w:val="7030A0"/>
              </w:rPr>
              <w:t>Submission to Royal Commission into Mental Health Terms of Reference Consultation</w:t>
            </w:r>
            <w:r w:rsidR="008B1089" w:rsidRPr="008B1089">
              <w:rPr>
                <w:noProof/>
                <w:webHidden/>
              </w:rPr>
              <w:tab/>
            </w:r>
            <w:r w:rsidR="008B1089" w:rsidRPr="008B1089">
              <w:rPr>
                <w:noProof/>
                <w:webHidden/>
              </w:rPr>
              <w:fldChar w:fldCharType="begin"/>
            </w:r>
            <w:r w:rsidR="008B1089" w:rsidRPr="008B1089">
              <w:rPr>
                <w:noProof/>
                <w:webHidden/>
              </w:rPr>
              <w:instrText xml:space="preserve"> PAGEREF _Toc535489844 \h </w:instrText>
            </w:r>
            <w:r w:rsidR="008B1089" w:rsidRPr="008B1089">
              <w:rPr>
                <w:noProof/>
                <w:webHidden/>
              </w:rPr>
            </w:r>
            <w:r w:rsidR="008B1089" w:rsidRPr="008B1089">
              <w:rPr>
                <w:noProof/>
                <w:webHidden/>
              </w:rPr>
              <w:fldChar w:fldCharType="separate"/>
            </w:r>
            <w:r w:rsidR="008B1089" w:rsidRPr="008B1089">
              <w:rPr>
                <w:noProof/>
                <w:webHidden/>
              </w:rPr>
              <w:t>1</w:t>
            </w:r>
            <w:r w:rsidR="008B1089" w:rsidRPr="008B1089">
              <w:rPr>
                <w:noProof/>
                <w:webHidden/>
              </w:rPr>
              <w:fldChar w:fldCharType="end"/>
            </w:r>
          </w:hyperlink>
        </w:p>
        <w:p w14:paraId="6A68D721" w14:textId="77777777" w:rsidR="008B1089" w:rsidRPr="008B1089" w:rsidRDefault="006E5475" w:rsidP="008B1089">
          <w:pPr>
            <w:pStyle w:val="TOC2"/>
            <w:rPr>
              <w:rFonts w:eastAsiaTheme="minorEastAsia"/>
            </w:rPr>
          </w:pPr>
          <w:hyperlink w:anchor="_Toc535489845" w:history="1">
            <w:r w:rsidR="008B1089" w:rsidRPr="008B1089">
              <w:rPr>
                <w:rStyle w:val="Hyperlink"/>
                <w:color w:val="auto"/>
              </w:rPr>
              <w:t>About Women with Disabilities Victoria</w:t>
            </w:r>
            <w:r w:rsidR="008B1089" w:rsidRPr="008B1089">
              <w:rPr>
                <w:webHidden/>
              </w:rPr>
              <w:tab/>
            </w:r>
            <w:r w:rsidR="008B1089" w:rsidRPr="008B1089">
              <w:rPr>
                <w:webHidden/>
              </w:rPr>
              <w:fldChar w:fldCharType="begin"/>
            </w:r>
            <w:r w:rsidR="008B1089" w:rsidRPr="008B1089">
              <w:rPr>
                <w:webHidden/>
              </w:rPr>
              <w:instrText xml:space="preserve"> PAGEREF _Toc535489845 \h </w:instrText>
            </w:r>
            <w:r w:rsidR="008B1089" w:rsidRPr="008B1089">
              <w:rPr>
                <w:webHidden/>
              </w:rPr>
            </w:r>
            <w:r w:rsidR="008B1089" w:rsidRPr="008B1089">
              <w:rPr>
                <w:webHidden/>
              </w:rPr>
              <w:fldChar w:fldCharType="separate"/>
            </w:r>
            <w:r w:rsidR="008B1089" w:rsidRPr="008B1089">
              <w:rPr>
                <w:webHidden/>
              </w:rPr>
              <w:t>3</w:t>
            </w:r>
            <w:r w:rsidR="008B1089" w:rsidRPr="008B1089">
              <w:rPr>
                <w:webHidden/>
              </w:rPr>
              <w:fldChar w:fldCharType="end"/>
            </w:r>
          </w:hyperlink>
        </w:p>
        <w:p w14:paraId="5311EBC6" w14:textId="77777777" w:rsidR="008B1089" w:rsidRPr="008B1089" w:rsidRDefault="006E5475" w:rsidP="008B1089">
          <w:pPr>
            <w:pStyle w:val="TOC2"/>
            <w:rPr>
              <w:rFonts w:eastAsiaTheme="minorEastAsia"/>
            </w:rPr>
          </w:pPr>
          <w:hyperlink w:anchor="_Toc535489846" w:history="1">
            <w:r w:rsidR="008B1089" w:rsidRPr="008B1089">
              <w:rPr>
                <w:rStyle w:val="Hyperlink"/>
              </w:rPr>
              <w:t>Introduction</w:t>
            </w:r>
            <w:r w:rsidR="008B1089" w:rsidRPr="008B1089">
              <w:rPr>
                <w:webHidden/>
              </w:rPr>
              <w:tab/>
            </w:r>
            <w:r w:rsidR="008B1089" w:rsidRPr="008B1089">
              <w:rPr>
                <w:webHidden/>
              </w:rPr>
              <w:fldChar w:fldCharType="begin"/>
            </w:r>
            <w:r w:rsidR="008B1089" w:rsidRPr="008B1089">
              <w:rPr>
                <w:webHidden/>
              </w:rPr>
              <w:instrText xml:space="preserve"> PAGEREF _Toc535489846 \h </w:instrText>
            </w:r>
            <w:r w:rsidR="008B1089" w:rsidRPr="008B1089">
              <w:rPr>
                <w:webHidden/>
              </w:rPr>
            </w:r>
            <w:r w:rsidR="008B1089" w:rsidRPr="008B1089">
              <w:rPr>
                <w:webHidden/>
              </w:rPr>
              <w:fldChar w:fldCharType="separate"/>
            </w:r>
            <w:r w:rsidR="008B1089" w:rsidRPr="008B1089">
              <w:rPr>
                <w:webHidden/>
              </w:rPr>
              <w:t>4</w:t>
            </w:r>
            <w:r w:rsidR="008B1089" w:rsidRPr="008B1089">
              <w:rPr>
                <w:webHidden/>
              </w:rPr>
              <w:fldChar w:fldCharType="end"/>
            </w:r>
          </w:hyperlink>
        </w:p>
        <w:p w14:paraId="718EF327" w14:textId="77777777" w:rsidR="008B1089" w:rsidRPr="008B1089" w:rsidRDefault="006E5475" w:rsidP="008B1089">
          <w:pPr>
            <w:pStyle w:val="TOC2"/>
            <w:rPr>
              <w:rFonts w:eastAsiaTheme="minorEastAsia"/>
            </w:rPr>
          </w:pPr>
          <w:hyperlink w:anchor="_Toc535489847" w:history="1">
            <w:r w:rsidR="008B1089" w:rsidRPr="008B1089">
              <w:rPr>
                <w:rStyle w:val="Hyperlink"/>
                <w:b/>
                <w:color w:val="7030A0"/>
              </w:rPr>
              <w:t>Additional themes for the Terms of Reference</w:t>
            </w:r>
            <w:r w:rsidR="008B1089" w:rsidRPr="008B1089">
              <w:rPr>
                <w:webHidden/>
              </w:rPr>
              <w:tab/>
            </w:r>
            <w:r w:rsidR="008B1089" w:rsidRPr="008B1089">
              <w:rPr>
                <w:webHidden/>
              </w:rPr>
              <w:fldChar w:fldCharType="begin"/>
            </w:r>
            <w:r w:rsidR="008B1089" w:rsidRPr="008B1089">
              <w:rPr>
                <w:webHidden/>
              </w:rPr>
              <w:instrText xml:space="preserve"> PAGEREF _Toc535489847 \h </w:instrText>
            </w:r>
            <w:r w:rsidR="008B1089" w:rsidRPr="008B1089">
              <w:rPr>
                <w:webHidden/>
              </w:rPr>
            </w:r>
            <w:r w:rsidR="008B1089" w:rsidRPr="008B1089">
              <w:rPr>
                <w:webHidden/>
              </w:rPr>
              <w:fldChar w:fldCharType="separate"/>
            </w:r>
            <w:r w:rsidR="008B1089" w:rsidRPr="008B1089">
              <w:rPr>
                <w:webHidden/>
              </w:rPr>
              <w:t>4</w:t>
            </w:r>
            <w:r w:rsidR="008B1089" w:rsidRPr="008B1089">
              <w:rPr>
                <w:webHidden/>
              </w:rPr>
              <w:fldChar w:fldCharType="end"/>
            </w:r>
          </w:hyperlink>
        </w:p>
        <w:p w14:paraId="14131269" w14:textId="77777777" w:rsidR="008B1089" w:rsidRPr="008B1089" w:rsidRDefault="006E5475">
          <w:pPr>
            <w:pStyle w:val="TOC3"/>
            <w:tabs>
              <w:tab w:val="right" w:leader="dot" w:pos="9350"/>
            </w:tabs>
            <w:rPr>
              <w:rFonts w:eastAsiaTheme="minorEastAsia"/>
              <w:noProof/>
            </w:rPr>
          </w:pPr>
          <w:hyperlink w:anchor="_Toc535489848" w:history="1">
            <w:r w:rsidR="008B1089" w:rsidRPr="008B1089">
              <w:rPr>
                <w:rStyle w:val="Hyperlink"/>
                <w:noProof/>
              </w:rPr>
              <w:t>1. Violence, including sexual violence, in mental health settings</w:t>
            </w:r>
            <w:r w:rsidR="008B1089" w:rsidRPr="008B1089">
              <w:rPr>
                <w:noProof/>
                <w:webHidden/>
              </w:rPr>
              <w:tab/>
            </w:r>
            <w:r w:rsidR="008B1089" w:rsidRPr="008B1089">
              <w:rPr>
                <w:noProof/>
                <w:webHidden/>
              </w:rPr>
              <w:fldChar w:fldCharType="begin"/>
            </w:r>
            <w:r w:rsidR="008B1089" w:rsidRPr="008B1089">
              <w:rPr>
                <w:noProof/>
                <w:webHidden/>
              </w:rPr>
              <w:instrText xml:space="preserve"> PAGEREF _Toc535489848 \h </w:instrText>
            </w:r>
            <w:r w:rsidR="008B1089" w:rsidRPr="008B1089">
              <w:rPr>
                <w:noProof/>
                <w:webHidden/>
              </w:rPr>
            </w:r>
            <w:r w:rsidR="008B1089" w:rsidRPr="008B1089">
              <w:rPr>
                <w:noProof/>
                <w:webHidden/>
              </w:rPr>
              <w:fldChar w:fldCharType="separate"/>
            </w:r>
            <w:r w:rsidR="008B1089" w:rsidRPr="008B1089">
              <w:rPr>
                <w:noProof/>
                <w:webHidden/>
              </w:rPr>
              <w:t>4</w:t>
            </w:r>
            <w:r w:rsidR="008B1089" w:rsidRPr="008B1089">
              <w:rPr>
                <w:noProof/>
                <w:webHidden/>
              </w:rPr>
              <w:fldChar w:fldCharType="end"/>
            </w:r>
          </w:hyperlink>
        </w:p>
        <w:p w14:paraId="3AB607B5" w14:textId="77777777" w:rsidR="008B1089" w:rsidRPr="008B1089" w:rsidRDefault="006E5475">
          <w:pPr>
            <w:pStyle w:val="TOC3"/>
            <w:tabs>
              <w:tab w:val="right" w:leader="dot" w:pos="9350"/>
            </w:tabs>
            <w:rPr>
              <w:rFonts w:eastAsiaTheme="minorEastAsia"/>
              <w:noProof/>
            </w:rPr>
          </w:pPr>
          <w:hyperlink w:anchor="_Toc535489849" w:history="1">
            <w:r w:rsidR="008B1089" w:rsidRPr="008B1089">
              <w:rPr>
                <w:rStyle w:val="Hyperlink"/>
                <w:noProof/>
              </w:rPr>
              <w:t>2. The National Disability Insurance Scheme (NDIS) and gaps in the system</w:t>
            </w:r>
            <w:r w:rsidR="008B1089" w:rsidRPr="008B1089">
              <w:rPr>
                <w:noProof/>
                <w:webHidden/>
              </w:rPr>
              <w:tab/>
            </w:r>
            <w:r w:rsidR="008B1089" w:rsidRPr="008B1089">
              <w:rPr>
                <w:noProof/>
                <w:webHidden/>
              </w:rPr>
              <w:fldChar w:fldCharType="begin"/>
            </w:r>
            <w:r w:rsidR="008B1089" w:rsidRPr="008B1089">
              <w:rPr>
                <w:noProof/>
                <w:webHidden/>
              </w:rPr>
              <w:instrText xml:space="preserve"> PAGEREF _Toc535489849 \h </w:instrText>
            </w:r>
            <w:r w:rsidR="008B1089" w:rsidRPr="008B1089">
              <w:rPr>
                <w:noProof/>
                <w:webHidden/>
              </w:rPr>
            </w:r>
            <w:r w:rsidR="008B1089" w:rsidRPr="008B1089">
              <w:rPr>
                <w:noProof/>
                <w:webHidden/>
              </w:rPr>
              <w:fldChar w:fldCharType="separate"/>
            </w:r>
            <w:r w:rsidR="008B1089" w:rsidRPr="008B1089">
              <w:rPr>
                <w:noProof/>
                <w:webHidden/>
              </w:rPr>
              <w:t>5</w:t>
            </w:r>
            <w:r w:rsidR="008B1089" w:rsidRPr="008B1089">
              <w:rPr>
                <w:noProof/>
                <w:webHidden/>
              </w:rPr>
              <w:fldChar w:fldCharType="end"/>
            </w:r>
          </w:hyperlink>
        </w:p>
        <w:p w14:paraId="7452821E" w14:textId="77777777" w:rsidR="008B1089" w:rsidRPr="008B1089" w:rsidRDefault="006E5475">
          <w:pPr>
            <w:pStyle w:val="TOC3"/>
            <w:tabs>
              <w:tab w:val="right" w:leader="dot" w:pos="9350"/>
            </w:tabs>
            <w:rPr>
              <w:rFonts w:eastAsiaTheme="minorEastAsia"/>
              <w:noProof/>
            </w:rPr>
          </w:pPr>
          <w:hyperlink w:anchor="_Toc535489850" w:history="1">
            <w:r w:rsidR="008B1089" w:rsidRPr="008B1089">
              <w:rPr>
                <w:rStyle w:val="Hyperlink"/>
                <w:noProof/>
              </w:rPr>
              <w:t>3. Social inclusion</w:t>
            </w:r>
            <w:r w:rsidR="008B1089" w:rsidRPr="008B1089">
              <w:rPr>
                <w:noProof/>
                <w:webHidden/>
              </w:rPr>
              <w:tab/>
            </w:r>
            <w:r w:rsidR="008B1089" w:rsidRPr="008B1089">
              <w:rPr>
                <w:noProof/>
                <w:webHidden/>
              </w:rPr>
              <w:fldChar w:fldCharType="begin"/>
            </w:r>
            <w:r w:rsidR="008B1089" w:rsidRPr="008B1089">
              <w:rPr>
                <w:noProof/>
                <w:webHidden/>
              </w:rPr>
              <w:instrText xml:space="preserve"> PAGEREF _Toc535489850 \h </w:instrText>
            </w:r>
            <w:r w:rsidR="008B1089" w:rsidRPr="008B1089">
              <w:rPr>
                <w:noProof/>
                <w:webHidden/>
              </w:rPr>
            </w:r>
            <w:r w:rsidR="008B1089" w:rsidRPr="008B1089">
              <w:rPr>
                <w:noProof/>
                <w:webHidden/>
              </w:rPr>
              <w:fldChar w:fldCharType="separate"/>
            </w:r>
            <w:r w:rsidR="008B1089" w:rsidRPr="008B1089">
              <w:rPr>
                <w:noProof/>
                <w:webHidden/>
              </w:rPr>
              <w:t>5</w:t>
            </w:r>
            <w:r w:rsidR="008B1089" w:rsidRPr="008B1089">
              <w:rPr>
                <w:noProof/>
                <w:webHidden/>
              </w:rPr>
              <w:fldChar w:fldCharType="end"/>
            </w:r>
          </w:hyperlink>
        </w:p>
        <w:p w14:paraId="1C56B129" w14:textId="77777777" w:rsidR="008B1089" w:rsidRPr="008B1089" w:rsidRDefault="006E5475" w:rsidP="008B1089">
          <w:pPr>
            <w:pStyle w:val="TOC2"/>
            <w:rPr>
              <w:rFonts w:eastAsiaTheme="minorEastAsia"/>
            </w:rPr>
          </w:pPr>
          <w:hyperlink w:anchor="_Toc535489851" w:history="1">
            <w:r w:rsidR="008B1089" w:rsidRPr="008B1089">
              <w:rPr>
                <w:rStyle w:val="Hyperlink"/>
                <w:b/>
                <w:color w:val="7030A0"/>
              </w:rPr>
              <w:t>The Commission’s process</w:t>
            </w:r>
            <w:r w:rsidR="008B1089" w:rsidRPr="008B1089">
              <w:rPr>
                <w:webHidden/>
              </w:rPr>
              <w:tab/>
            </w:r>
            <w:r w:rsidR="008B1089" w:rsidRPr="008B1089">
              <w:rPr>
                <w:webHidden/>
              </w:rPr>
              <w:fldChar w:fldCharType="begin"/>
            </w:r>
            <w:r w:rsidR="008B1089" w:rsidRPr="008B1089">
              <w:rPr>
                <w:webHidden/>
              </w:rPr>
              <w:instrText xml:space="preserve"> PAGEREF _Toc535489851 \h </w:instrText>
            </w:r>
            <w:r w:rsidR="008B1089" w:rsidRPr="008B1089">
              <w:rPr>
                <w:webHidden/>
              </w:rPr>
            </w:r>
            <w:r w:rsidR="008B1089" w:rsidRPr="008B1089">
              <w:rPr>
                <w:webHidden/>
              </w:rPr>
              <w:fldChar w:fldCharType="separate"/>
            </w:r>
            <w:r w:rsidR="008B1089" w:rsidRPr="008B1089">
              <w:rPr>
                <w:webHidden/>
              </w:rPr>
              <w:t>5</w:t>
            </w:r>
            <w:r w:rsidR="008B1089" w:rsidRPr="008B1089">
              <w:rPr>
                <w:webHidden/>
              </w:rPr>
              <w:fldChar w:fldCharType="end"/>
            </w:r>
          </w:hyperlink>
        </w:p>
        <w:p w14:paraId="44D739E7" w14:textId="77777777" w:rsidR="008B1089" w:rsidRPr="008B1089" w:rsidRDefault="006E5475">
          <w:pPr>
            <w:pStyle w:val="TOC3"/>
            <w:tabs>
              <w:tab w:val="right" w:leader="dot" w:pos="9350"/>
            </w:tabs>
            <w:rPr>
              <w:rFonts w:eastAsiaTheme="minorEastAsia"/>
              <w:noProof/>
            </w:rPr>
          </w:pPr>
          <w:hyperlink w:anchor="_Toc535489852" w:history="1">
            <w:r w:rsidR="008B1089" w:rsidRPr="008B1089">
              <w:rPr>
                <w:rStyle w:val="Hyperlink"/>
                <w:noProof/>
              </w:rPr>
              <w:t>Centering consumer voice and feedback</w:t>
            </w:r>
            <w:r w:rsidR="008B1089" w:rsidRPr="008B1089">
              <w:rPr>
                <w:noProof/>
                <w:webHidden/>
              </w:rPr>
              <w:tab/>
            </w:r>
            <w:r w:rsidR="008B1089" w:rsidRPr="008B1089">
              <w:rPr>
                <w:noProof/>
                <w:webHidden/>
              </w:rPr>
              <w:fldChar w:fldCharType="begin"/>
            </w:r>
            <w:r w:rsidR="008B1089" w:rsidRPr="008B1089">
              <w:rPr>
                <w:noProof/>
                <w:webHidden/>
              </w:rPr>
              <w:instrText xml:space="preserve"> PAGEREF _Toc535489852 \h </w:instrText>
            </w:r>
            <w:r w:rsidR="008B1089" w:rsidRPr="008B1089">
              <w:rPr>
                <w:noProof/>
                <w:webHidden/>
              </w:rPr>
            </w:r>
            <w:r w:rsidR="008B1089" w:rsidRPr="008B1089">
              <w:rPr>
                <w:noProof/>
                <w:webHidden/>
              </w:rPr>
              <w:fldChar w:fldCharType="separate"/>
            </w:r>
            <w:r w:rsidR="008B1089" w:rsidRPr="008B1089">
              <w:rPr>
                <w:noProof/>
                <w:webHidden/>
              </w:rPr>
              <w:t>5</w:t>
            </w:r>
            <w:r w:rsidR="008B1089" w:rsidRPr="008B1089">
              <w:rPr>
                <w:noProof/>
                <w:webHidden/>
              </w:rPr>
              <w:fldChar w:fldCharType="end"/>
            </w:r>
          </w:hyperlink>
        </w:p>
        <w:p w14:paraId="0FD51BC0" w14:textId="77777777" w:rsidR="008B1089" w:rsidRPr="008B1089" w:rsidRDefault="006E5475">
          <w:pPr>
            <w:pStyle w:val="TOC3"/>
            <w:tabs>
              <w:tab w:val="right" w:leader="dot" w:pos="9350"/>
            </w:tabs>
            <w:rPr>
              <w:rFonts w:eastAsiaTheme="minorEastAsia"/>
              <w:noProof/>
            </w:rPr>
          </w:pPr>
          <w:hyperlink w:anchor="_Toc535489853" w:history="1">
            <w:r w:rsidR="008B1089" w:rsidRPr="008B1089">
              <w:rPr>
                <w:rStyle w:val="Hyperlink"/>
                <w:noProof/>
              </w:rPr>
              <w:t>Accessibility</w:t>
            </w:r>
            <w:r w:rsidR="008B1089" w:rsidRPr="008B1089">
              <w:rPr>
                <w:noProof/>
                <w:webHidden/>
              </w:rPr>
              <w:tab/>
            </w:r>
            <w:r w:rsidR="008B1089" w:rsidRPr="008B1089">
              <w:rPr>
                <w:noProof/>
                <w:webHidden/>
              </w:rPr>
              <w:fldChar w:fldCharType="begin"/>
            </w:r>
            <w:r w:rsidR="008B1089" w:rsidRPr="008B1089">
              <w:rPr>
                <w:noProof/>
                <w:webHidden/>
              </w:rPr>
              <w:instrText xml:space="preserve"> PAGEREF _Toc535489853 \h </w:instrText>
            </w:r>
            <w:r w:rsidR="008B1089" w:rsidRPr="008B1089">
              <w:rPr>
                <w:noProof/>
                <w:webHidden/>
              </w:rPr>
            </w:r>
            <w:r w:rsidR="008B1089" w:rsidRPr="008B1089">
              <w:rPr>
                <w:noProof/>
                <w:webHidden/>
              </w:rPr>
              <w:fldChar w:fldCharType="separate"/>
            </w:r>
            <w:r w:rsidR="008B1089" w:rsidRPr="008B1089">
              <w:rPr>
                <w:noProof/>
                <w:webHidden/>
              </w:rPr>
              <w:t>5</w:t>
            </w:r>
            <w:r w:rsidR="008B1089" w:rsidRPr="008B1089">
              <w:rPr>
                <w:noProof/>
                <w:webHidden/>
              </w:rPr>
              <w:fldChar w:fldCharType="end"/>
            </w:r>
          </w:hyperlink>
        </w:p>
        <w:p w14:paraId="7D965D80" w14:textId="77777777" w:rsidR="008B1089" w:rsidRPr="008B1089" w:rsidRDefault="006E5475" w:rsidP="008B1089">
          <w:pPr>
            <w:pStyle w:val="TOC2"/>
            <w:rPr>
              <w:rFonts w:eastAsiaTheme="minorEastAsia"/>
            </w:rPr>
          </w:pPr>
          <w:hyperlink w:anchor="_Toc535489854" w:history="1">
            <w:r w:rsidR="008B1089" w:rsidRPr="008B1089">
              <w:rPr>
                <w:rStyle w:val="Hyperlink"/>
              </w:rPr>
              <w:t>Outcomes</w:t>
            </w:r>
            <w:r w:rsidR="008B1089" w:rsidRPr="008B1089">
              <w:rPr>
                <w:webHidden/>
              </w:rPr>
              <w:tab/>
            </w:r>
            <w:r w:rsidR="008B1089" w:rsidRPr="008B1089">
              <w:rPr>
                <w:webHidden/>
              </w:rPr>
              <w:fldChar w:fldCharType="begin"/>
            </w:r>
            <w:r w:rsidR="008B1089" w:rsidRPr="008B1089">
              <w:rPr>
                <w:webHidden/>
              </w:rPr>
              <w:instrText xml:space="preserve"> PAGEREF _Toc535489854 \h </w:instrText>
            </w:r>
            <w:r w:rsidR="008B1089" w:rsidRPr="008B1089">
              <w:rPr>
                <w:webHidden/>
              </w:rPr>
            </w:r>
            <w:r w:rsidR="008B1089" w:rsidRPr="008B1089">
              <w:rPr>
                <w:webHidden/>
              </w:rPr>
              <w:fldChar w:fldCharType="separate"/>
            </w:r>
            <w:r w:rsidR="008B1089" w:rsidRPr="008B1089">
              <w:rPr>
                <w:webHidden/>
              </w:rPr>
              <w:t>6</w:t>
            </w:r>
            <w:r w:rsidR="008B1089" w:rsidRPr="008B1089">
              <w:rPr>
                <w:webHidden/>
              </w:rPr>
              <w:fldChar w:fldCharType="end"/>
            </w:r>
          </w:hyperlink>
        </w:p>
        <w:p w14:paraId="0C8E0604" w14:textId="77777777" w:rsidR="008B1089" w:rsidRPr="008B1089" w:rsidRDefault="006E5475">
          <w:pPr>
            <w:pStyle w:val="TOC3"/>
            <w:tabs>
              <w:tab w:val="right" w:leader="dot" w:pos="9350"/>
            </w:tabs>
            <w:rPr>
              <w:rFonts w:eastAsiaTheme="minorEastAsia"/>
              <w:noProof/>
            </w:rPr>
          </w:pPr>
          <w:hyperlink w:anchor="_Toc535489855" w:history="1">
            <w:r w:rsidR="008B1089" w:rsidRPr="00EE1C9C">
              <w:rPr>
                <w:rStyle w:val="Hyperlink"/>
                <w:b/>
                <w:noProof/>
                <w:color w:val="7030A0"/>
              </w:rPr>
              <w:t>Conclusion</w:t>
            </w:r>
            <w:r w:rsidR="008B1089" w:rsidRPr="008B1089">
              <w:rPr>
                <w:noProof/>
                <w:webHidden/>
              </w:rPr>
              <w:tab/>
            </w:r>
            <w:r w:rsidR="008B1089" w:rsidRPr="008B1089">
              <w:rPr>
                <w:noProof/>
                <w:webHidden/>
              </w:rPr>
              <w:fldChar w:fldCharType="begin"/>
            </w:r>
            <w:r w:rsidR="008B1089" w:rsidRPr="008B1089">
              <w:rPr>
                <w:noProof/>
                <w:webHidden/>
              </w:rPr>
              <w:instrText xml:space="preserve"> PAGEREF _Toc535489855 \h </w:instrText>
            </w:r>
            <w:r w:rsidR="008B1089" w:rsidRPr="008B1089">
              <w:rPr>
                <w:noProof/>
                <w:webHidden/>
              </w:rPr>
            </w:r>
            <w:r w:rsidR="008B1089" w:rsidRPr="008B1089">
              <w:rPr>
                <w:noProof/>
                <w:webHidden/>
              </w:rPr>
              <w:fldChar w:fldCharType="separate"/>
            </w:r>
            <w:r w:rsidR="008B1089" w:rsidRPr="008B1089">
              <w:rPr>
                <w:noProof/>
                <w:webHidden/>
              </w:rPr>
              <w:t>6</w:t>
            </w:r>
            <w:r w:rsidR="008B1089" w:rsidRPr="008B1089">
              <w:rPr>
                <w:noProof/>
                <w:webHidden/>
              </w:rPr>
              <w:fldChar w:fldCharType="end"/>
            </w:r>
          </w:hyperlink>
        </w:p>
        <w:p w14:paraId="3F898D83" w14:textId="77777777" w:rsidR="00C263C2" w:rsidRDefault="00C263C2">
          <w:r w:rsidRPr="008B1089">
            <w:rPr>
              <w:bCs/>
              <w:noProof/>
            </w:rPr>
            <w:fldChar w:fldCharType="end"/>
          </w:r>
        </w:p>
      </w:sdtContent>
    </w:sdt>
    <w:p w14:paraId="1B06AE10" w14:textId="77777777" w:rsidR="00C263C2" w:rsidRDefault="00C263C2"/>
    <w:p w14:paraId="6A505CA0" w14:textId="77777777" w:rsidR="00C263C2" w:rsidRDefault="00C263C2"/>
    <w:p w14:paraId="27FE4489" w14:textId="77777777" w:rsidR="00C263C2" w:rsidRDefault="00C263C2"/>
    <w:p w14:paraId="60981083" w14:textId="77777777" w:rsidR="00C263C2" w:rsidRDefault="00C263C2"/>
    <w:p w14:paraId="44BE5C23" w14:textId="77777777" w:rsidR="00C263C2" w:rsidRDefault="00C263C2"/>
    <w:p w14:paraId="55E18FCB" w14:textId="77777777" w:rsidR="00C263C2" w:rsidRDefault="00C263C2"/>
    <w:p w14:paraId="495639DC" w14:textId="77777777" w:rsidR="00C263C2" w:rsidRDefault="00C263C2"/>
    <w:p w14:paraId="0BF681F8" w14:textId="77777777" w:rsidR="00C263C2" w:rsidRDefault="00C263C2"/>
    <w:p w14:paraId="0AE4C0CB" w14:textId="77777777" w:rsidR="00C263C2" w:rsidRDefault="00C263C2"/>
    <w:p w14:paraId="04C4D9FB" w14:textId="77777777" w:rsidR="00C263C2" w:rsidRDefault="00C263C2">
      <w:bookmarkStart w:id="5" w:name="_GoBack"/>
      <w:bookmarkEnd w:id="5"/>
    </w:p>
    <w:p w14:paraId="0EEB286F" w14:textId="77777777" w:rsidR="00C263C2" w:rsidRDefault="00C263C2"/>
    <w:p w14:paraId="6E7AF147" w14:textId="77777777" w:rsidR="00C263C2" w:rsidRDefault="00C263C2"/>
    <w:p w14:paraId="7D873184" w14:textId="77777777" w:rsidR="00C263C2" w:rsidRDefault="00C263C2"/>
    <w:p w14:paraId="4683978E" w14:textId="77777777" w:rsidR="00C263C2" w:rsidRDefault="00C263C2"/>
    <w:p w14:paraId="31EB4DA7" w14:textId="366BC204" w:rsidR="00C263C2" w:rsidRPr="00441D3C" w:rsidRDefault="00C263C2" w:rsidP="00441D3C">
      <w:pPr>
        <w:pStyle w:val="Heading2"/>
        <w:rPr>
          <w:rFonts w:asciiTheme="minorHAnsi" w:hAnsiTheme="minorHAnsi"/>
          <w:b/>
          <w:color w:val="7030A0"/>
          <w:lang w:val="en-AU"/>
        </w:rPr>
      </w:pPr>
      <w:bookmarkStart w:id="6" w:name="_Toc529796895"/>
      <w:bookmarkStart w:id="7" w:name="_Toc535489845"/>
      <w:r w:rsidRPr="00441D3C">
        <w:rPr>
          <w:rFonts w:asciiTheme="minorHAnsi" w:hAnsiTheme="minorHAnsi"/>
          <w:b/>
          <w:color w:val="7030A0"/>
          <w:lang w:val="en-AU"/>
        </w:rPr>
        <w:lastRenderedPageBreak/>
        <w:t>About Women with Disabilities Victoria</w:t>
      </w:r>
      <w:bookmarkEnd w:id="6"/>
      <w:bookmarkEnd w:id="7"/>
    </w:p>
    <w:p w14:paraId="2B0ED5C3" w14:textId="77777777" w:rsidR="00554A91" w:rsidRDefault="00C263C2" w:rsidP="00554A91">
      <w:pPr>
        <w:jc w:val="center"/>
        <w:rPr>
          <w:sz w:val="16"/>
          <w:szCs w:val="16"/>
          <w:lang w:val="en-AU"/>
        </w:rPr>
      </w:pPr>
      <w:r w:rsidRPr="00C263C2">
        <w:rPr>
          <w:lang w:val="en-AU"/>
        </w:rPr>
        <w:br/>
      </w:r>
      <w:r w:rsidRPr="00C263C2">
        <w:rPr>
          <w:noProof/>
        </w:rPr>
        <w:drawing>
          <wp:inline distT="0" distB="0" distL="0" distR="0" wp14:anchorId="0B25AC78" wp14:editId="664EB4B5">
            <wp:extent cx="5133975" cy="1062086"/>
            <wp:effectExtent l="19050" t="0" r="9525" b="347980"/>
            <wp:docPr id="3" name="Picture 3" title="Women with Disabilities Victoria members, associate members, board, staff and supporters smil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1">
                      <a:extLst>
                        <a:ext uri="{28A0092B-C50C-407E-A947-70E740481C1C}">
                          <a14:useLocalDpi xmlns:a14="http://schemas.microsoft.com/office/drawing/2010/main" val="0"/>
                        </a:ext>
                      </a:extLst>
                    </a:blip>
                    <a:srcRect l="-989"/>
                    <a:stretch/>
                  </pic:blipFill>
                  <pic:spPr>
                    <a:xfrm>
                      <a:off x="0" y="0"/>
                      <a:ext cx="5252769" cy="108666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32B685D" w14:textId="77777777" w:rsidR="00C263C2" w:rsidRPr="00C263C2" w:rsidRDefault="00C263C2" w:rsidP="00167F0C">
      <w:pPr>
        <w:jc w:val="center"/>
        <w:rPr>
          <w:lang w:val="en-AU"/>
        </w:rPr>
      </w:pPr>
      <w:r w:rsidRPr="00C263C2">
        <w:rPr>
          <w:sz w:val="16"/>
          <w:szCs w:val="16"/>
          <w:lang w:val="en-AU"/>
        </w:rPr>
        <w:t>Pictured: Women with Disabilities Victoria members, associate members, board, staff and supporters.</w:t>
      </w:r>
    </w:p>
    <w:p w14:paraId="634F9F69" w14:textId="77777777" w:rsidR="00C263C2" w:rsidRPr="00C263C2" w:rsidRDefault="00C263C2" w:rsidP="00C263C2">
      <w:pPr>
        <w:jc w:val="both"/>
        <w:rPr>
          <w:lang w:val="en-AU"/>
        </w:rPr>
      </w:pPr>
      <w:r w:rsidRPr="00C263C2">
        <w:rPr>
          <w:lang w:val="en-AU"/>
        </w:rPr>
        <w:t xml:space="preserve">Women with Disabilities Victoria </w:t>
      </w:r>
      <w:r w:rsidR="00554A91">
        <w:rPr>
          <w:lang w:val="en-AU"/>
        </w:rPr>
        <w:t xml:space="preserve">(WDV) </w:t>
      </w:r>
      <w:r w:rsidRPr="00C263C2">
        <w:rPr>
          <w:lang w:val="en-AU"/>
        </w:rPr>
        <w:t xml:space="preserve">is an organisation run by women with disabilities for women with disabilities. Our members, board and staff live across the state and have a range of disabilities, lifestyles and ages. We are united in working towards our vision of a world where all women are respected and can fully experience life. </w:t>
      </w:r>
    </w:p>
    <w:p w14:paraId="00A36114" w14:textId="77777777" w:rsidR="00C263C2" w:rsidRPr="00C263C2" w:rsidRDefault="00C263C2" w:rsidP="00C263C2">
      <w:pPr>
        <w:jc w:val="both"/>
        <w:rPr>
          <w:lang w:val="en-AU"/>
        </w:rPr>
      </w:pPr>
      <w:r w:rsidRPr="00C263C2">
        <w:rPr>
          <w:lang w:val="en-AU"/>
        </w:rPr>
        <w:t xml:space="preserve">Our gender perspective allows us to focus on areas of particular inequity to women with disabilities: access to women’s health services, gendered National Disability Insurance Scheme (NDIS) services and safety from gender-based violence. We undertake research and consultation. We provide professional education, representation, information and leadership programs for women with disabilities. </w:t>
      </w:r>
    </w:p>
    <w:p w14:paraId="16CFFF41" w14:textId="77777777" w:rsidR="00C263C2" w:rsidRPr="00C263C2" w:rsidRDefault="00C263C2" w:rsidP="00C263C2">
      <w:pPr>
        <w:jc w:val="both"/>
        <w:rPr>
          <w:lang w:val="en-AU"/>
        </w:rPr>
      </w:pPr>
      <w:r w:rsidRPr="00C263C2">
        <w:rPr>
          <w:lang w:val="en-AU"/>
        </w:rPr>
        <w:t xml:space="preserve">We have dedicated particular attention to the issue of men’s violence against women with disabilities, due to its gravity and prevalence in our lives. Since 2009 we have had a Policy Officer, funded by the Victorian Government, to focus on violence against women with disabilities. This has been a valuable resource for the community sector and government. Our representation at the Royal Commission into Family Violence in Victoria (RCFV) contributed to sixteen RCFV recommendations with specific disability content, and our representation to the Victorian Parliamentary Inquiry into Abuse in Disability Services resulted in a chapter on gender in the Committee’s final report. </w:t>
      </w:r>
    </w:p>
    <w:p w14:paraId="448022ED" w14:textId="77777777" w:rsidR="00C263C2" w:rsidRPr="00C263C2" w:rsidRDefault="00C263C2" w:rsidP="00C263C2">
      <w:pPr>
        <w:jc w:val="both"/>
        <w:rPr>
          <w:lang w:val="en-AU"/>
        </w:rPr>
      </w:pPr>
      <w:r w:rsidRPr="00C263C2">
        <w:rPr>
          <w:lang w:val="en-AU"/>
        </w:rPr>
        <w:t xml:space="preserve">Under Victoria’s Plan to Address Violence </w:t>
      </w:r>
      <w:proofErr w:type="gramStart"/>
      <w:r w:rsidRPr="00C263C2">
        <w:rPr>
          <w:lang w:val="en-AU"/>
        </w:rPr>
        <w:t>Against</w:t>
      </w:r>
      <w:proofErr w:type="gramEnd"/>
      <w:r w:rsidRPr="00C263C2">
        <w:rPr>
          <w:lang w:val="en-AU"/>
        </w:rPr>
        <w:t xml:space="preserve"> Women and Children we were funded to pilot a ground breaking workforce development program in disability services. The Gender and Disability Workforce Development Program commenced in 2013 and the program evaluation was completed in August 2015.</w:t>
      </w:r>
    </w:p>
    <w:p w14:paraId="02C8B9ED" w14:textId="77777777" w:rsidR="00C263C2" w:rsidRPr="00167F0C" w:rsidRDefault="00C263C2" w:rsidP="00167F0C">
      <w:pPr>
        <w:jc w:val="both"/>
        <w:rPr>
          <w:lang w:val="en-AU"/>
        </w:rPr>
      </w:pPr>
      <w:r w:rsidRPr="00C263C2">
        <w:rPr>
          <w:lang w:val="en-AU"/>
        </w:rPr>
        <w:t>In 2014, we published ‘Voices Against Violence’.</w:t>
      </w:r>
      <w:r w:rsidRPr="00C263C2">
        <w:rPr>
          <w:vertAlign w:val="superscript"/>
          <w:lang w:val="en-AU"/>
        </w:rPr>
        <w:footnoteReference w:id="1"/>
      </w:r>
      <w:r w:rsidRPr="00C263C2">
        <w:rPr>
          <w:lang w:val="en-AU"/>
        </w:rPr>
        <w:t xml:space="preserve"> This was the result of a two year research project with partners Office of the Public Advocate Victoria (OPA) and Domestic Violence Resource Centre Victoria. The seven papers of the project examined the intersecting forms of gendered and disability-based violence experienced by women with disabilities, studying literature, OPA files, legislation, and interviewing OPA staff and women with disabilities. </w:t>
      </w:r>
      <w:r w:rsidR="00167F0C" w:rsidRPr="00167F0C">
        <w:rPr>
          <w:lang w:val="en-AU"/>
        </w:rPr>
        <w:t>This submission draws on findings and recommendations from these projects, alongside our previous projects, work with other organisations and consultations with women with disabilities.</w:t>
      </w:r>
    </w:p>
    <w:p w14:paraId="69917064" w14:textId="77777777" w:rsidR="002F51EC" w:rsidRPr="00441D3C" w:rsidRDefault="00554A91" w:rsidP="00441D3C">
      <w:pPr>
        <w:pStyle w:val="Heading2"/>
        <w:rPr>
          <w:rFonts w:asciiTheme="minorHAnsi" w:hAnsiTheme="minorHAnsi"/>
          <w:b/>
          <w:color w:val="7030A0"/>
          <w:lang w:val="en-AU"/>
        </w:rPr>
      </w:pPr>
      <w:bookmarkStart w:id="8" w:name="_Toc535489846"/>
      <w:r w:rsidRPr="00441D3C">
        <w:rPr>
          <w:rFonts w:asciiTheme="minorHAnsi" w:hAnsiTheme="minorHAnsi"/>
          <w:b/>
          <w:color w:val="7030A0"/>
          <w:lang w:val="en-AU"/>
        </w:rPr>
        <w:lastRenderedPageBreak/>
        <w:t>Introduction</w:t>
      </w:r>
      <w:bookmarkEnd w:id="8"/>
      <w:r w:rsidR="00D00657">
        <w:rPr>
          <w:rFonts w:asciiTheme="minorHAnsi" w:hAnsiTheme="minorHAnsi"/>
          <w:b/>
          <w:color w:val="7030A0"/>
          <w:lang w:val="en-AU"/>
        </w:rPr>
        <w:br/>
      </w:r>
    </w:p>
    <w:p w14:paraId="0B91AE7C" w14:textId="77777777" w:rsidR="00C110CC" w:rsidRDefault="00554A91" w:rsidP="00E73D1F">
      <w:pPr>
        <w:jc w:val="both"/>
      </w:pPr>
      <w:r>
        <w:t>WDV</w:t>
      </w:r>
      <w:r w:rsidR="0026440B" w:rsidRPr="006A0069">
        <w:t xml:space="preserve"> welcomes the opportunity to contribute to </w:t>
      </w:r>
      <w:r w:rsidR="0026440B" w:rsidRPr="00885AD9">
        <w:t xml:space="preserve">the </w:t>
      </w:r>
      <w:r w:rsidR="0026440B">
        <w:t>Victorian Government’s consultation on the Terms of Reference for the Royal</w:t>
      </w:r>
      <w:r w:rsidR="00B814B2">
        <w:t xml:space="preserve"> Commission into Mental Health (‘Royal Commission’). </w:t>
      </w:r>
      <w:r w:rsidR="00237995">
        <w:t xml:space="preserve">This submission is organised around themes for the Terms of Reference, expected outcomes of the </w:t>
      </w:r>
      <w:r w:rsidR="00630DB2">
        <w:t>Royal Commission and</w:t>
      </w:r>
      <w:r w:rsidR="00237995">
        <w:t xml:space="preserve"> </w:t>
      </w:r>
      <w:r w:rsidR="00B47020">
        <w:t>the</w:t>
      </w:r>
      <w:r w:rsidR="00237995">
        <w:t xml:space="preserve"> process for conducting </w:t>
      </w:r>
      <w:r w:rsidR="00630DB2">
        <w:t xml:space="preserve">the </w:t>
      </w:r>
      <w:r w:rsidR="00237995">
        <w:t>Commission</w:t>
      </w:r>
      <w:r w:rsidR="00630DB2">
        <w:t>’s work.</w:t>
      </w:r>
    </w:p>
    <w:p w14:paraId="7AA25A4D" w14:textId="6F9F0953" w:rsidR="00EE1C9C" w:rsidRDefault="0094072D" w:rsidP="00E73D1F">
      <w:pPr>
        <w:jc w:val="both"/>
      </w:pPr>
      <w:r>
        <w:t>A</w:t>
      </w:r>
      <w:r w:rsidR="00237995">
        <w:t xml:space="preserve"> gender lens must be taken by the Royal Commission because m</w:t>
      </w:r>
      <w:r w:rsidR="002B23A6">
        <w:t>ental h</w:t>
      </w:r>
      <w:r w:rsidR="00237995">
        <w:t xml:space="preserve">ealth is a gendered issue. </w:t>
      </w:r>
      <w:r w:rsidR="00B47020">
        <w:t>While m</w:t>
      </w:r>
      <w:r w:rsidR="00237995" w:rsidRPr="002B23A6">
        <w:t>en</w:t>
      </w:r>
      <w:r w:rsidR="002B23A6" w:rsidRPr="002B23A6">
        <w:t xml:space="preserve"> are admitted to mental health inpatient units in greater numbers and </w:t>
      </w:r>
      <w:r w:rsidR="00B47020">
        <w:t>have high</w:t>
      </w:r>
      <w:r w:rsidR="002B23A6" w:rsidRPr="002B23A6">
        <w:t xml:space="preserve"> rates of suicide</w:t>
      </w:r>
      <w:r w:rsidR="00B47020">
        <w:t>,</w:t>
      </w:r>
      <w:r w:rsidR="008D4DCB">
        <w:rPr>
          <w:rStyle w:val="FootnoteReference"/>
        </w:rPr>
        <w:footnoteReference w:id="2"/>
      </w:r>
      <w:r w:rsidR="002B23A6" w:rsidRPr="002B23A6">
        <w:t xml:space="preserve"> more women experience suicidality </w:t>
      </w:r>
      <w:r w:rsidR="002B23A6">
        <w:t>and w</w:t>
      </w:r>
      <w:r w:rsidR="002B23A6" w:rsidRPr="002B23A6">
        <w:t xml:space="preserve">omen’s needs are less likely to be factored into </w:t>
      </w:r>
      <w:r w:rsidR="00C110CC">
        <w:t>reviews by government.</w:t>
      </w:r>
      <w:r w:rsidR="008D4DCB" w:rsidRPr="008D4DCB">
        <w:rPr>
          <w:rStyle w:val="FootnoteReference"/>
        </w:rPr>
        <w:t xml:space="preserve"> </w:t>
      </w:r>
      <w:r w:rsidR="008D4DCB">
        <w:rPr>
          <w:rStyle w:val="FootnoteReference"/>
        </w:rPr>
        <w:footnoteReference w:id="3"/>
      </w:r>
      <w:r w:rsidR="00221949">
        <w:t xml:space="preserve"> </w:t>
      </w:r>
      <w:r w:rsidR="006F5722">
        <w:t>As women with disabilities we</w:t>
      </w:r>
      <w:r w:rsidR="00C110CC">
        <w:t xml:space="preserve"> experience</w:t>
      </w:r>
      <w:r w:rsidR="002B23A6" w:rsidRPr="002B23A6">
        <w:t xml:space="preserve"> inequalities </w:t>
      </w:r>
      <w:r w:rsidR="00C110CC">
        <w:t xml:space="preserve">and intersectional discrimination </w:t>
      </w:r>
      <w:r w:rsidR="00221949">
        <w:t xml:space="preserve">on many levels and </w:t>
      </w:r>
      <w:r w:rsidR="00235E09">
        <w:t>women’s</w:t>
      </w:r>
      <w:r w:rsidR="00C110CC">
        <w:t xml:space="preserve"> right to</w:t>
      </w:r>
      <w:r w:rsidR="002B23A6" w:rsidRPr="002B23A6">
        <w:t xml:space="preserve"> acce</w:t>
      </w:r>
      <w:r w:rsidR="00C110CC">
        <w:t>ss safe and sens</w:t>
      </w:r>
      <w:r w:rsidR="00DE0FB3">
        <w:t xml:space="preserve">itive services </w:t>
      </w:r>
      <w:r w:rsidR="00CE5B94">
        <w:t>are</w:t>
      </w:r>
      <w:r w:rsidR="00DE0FB3">
        <w:t xml:space="preserve"> </w:t>
      </w:r>
      <w:r w:rsidR="00235E09">
        <w:t>infringed regularly in the current system</w:t>
      </w:r>
      <w:r w:rsidR="00DE0FB3">
        <w:t>.</w:t>
      </w:r>
      <w:r w:rsidR="008D2F87">
        <w:t xml:space="preserve"> </w:t>
      </w:r>
      <w:r w:rsidR="00221949">
        <w:t>Because of this, the</w:t>
      </w:r>
      <w:r w:rsidR="008D2F87">
        <w:t xml:space="preserve"> </w:t>
      </w:r>
      <w:r w:rsidR="009416C5">
        <w:t xml:space="preserve">Royal </w:t>
      </w:r>
      <w:r w:rsidR="008D2F87">
        <w:t>Commission must take a gender sen</w:t>
      </w:r>
      <w:r w:rsidR="00CE5B94">
        <w:t>sitive approach to all its work.</w:t>
      </w:r>
      <w:r w:rsidR="006F389B">
        <w:br/>
      </w:r>
    </w:p>
    <w:p w14:paraId="0FA6A51D" w14:textId="77777777" w:rsidR="0026440B" w:rsidRPr="00441D3C" w:rsidRDefault="00D8720A" w:rsidP="00441D3C">
      <w:pPr>
        <w:pStyle w:val="Heading2"/>
        <w:rPr>
          <w:rFonts w:asciiTheme="minorHAnsi" w:hAnsiTheme="minorHAnsi"/>
          <w:b/>
          <w:color w:val="7030A0"/>
        </w:rPr>
      </w:pPr>
      <w:bookmarkStart w:id="9" w:name="_Toc535489847"/>
      <w:r w:rsidRPr="00441D3C">
        <w:rPr>
          <w:rFonts w:asciiTheme="minorHAnsi" w:hAnsiTheme="minorHAnsi"/>
          <w:b/>
          <w:color w:val="7030A0"/>
        </w:rPr>
        <w:t>Additional</w:t>
      </w:r>
      <w:r w:rsidR="00DE3E68" w:rsidRPr="00441D3C">
        <w:rPr>
          <w:rFonts w:asciiTheme="minorHAnsi" w:hAnsiTheme="minorHAnsi"/>
          <w:b/>
          <w:color w:val="7030A0"/>
        </w:rPr>
        <w:t xml:space="preserve"> themes</w:t>
      </w:r>
      <w:r w:rsidR="007023B9" w:rsidRPr="00441D3C">
        <w:rPr>
          <w:rFonts w:asciiTheme="minorHAnsi" w:hAnsiTheme="minorHAnsi"/>
          <w:b/>
          <w:color w:val="7030A0"/>
        </w:rPr>
        <w:t xml:space="preserve"> for the Terms of Reference</w:t>
      </w:r>
      <w:bookmarkEnd w:id="9"/>
      <w:r w:rsidR="00D00657">
        <w:rPr>
          <w:rFonts w:asciiTheme="minorHAnsi" w:hAnsiTheme="minorHAnsi"/>
          <w:b/>
          <w:color w:val="7030A0"/>
        </w:rPr>
        <w:br/>
      </w:r>
    </w:p>
    <w:p w14:paraId="0718FC1E" w14:textId="77777777" w:rsidR="00DE3E68" w:rsidRPr="00441D3C" w:rsidRDefault="00DE3E68" w:rsidP="00441D3C">
      <w:pPr>
        <w:pStyle w:val="Heading3"/>
        <w:rPr>
          <w:rFonts w:asciiTheme="minorHAnsi" w:hAnsiTheme="minorHAnsi"/>
          <w:b/>
          <w:color w:val="7030A0"/>
          <w:sz w:val="22"/>
          <w:szCs w:val="22"/>
        </w:rPr>
      </w:pPr>
      <w:bookmarkStart w:id="10" w:name="_Toc535489848"/>
      <w:r w:rsidRPr="00441D3C">
        <w:rPr>
          <w:rFonts w:asciiTheme="minorHAnsi" w:hAnsiTheme="minorHAnsi"/>
          <w:b/>
          <w:color w:val="7030A0"/>
          <w:sz w:val="22"/>
          <w:szCs w:val="22"/>
        </w:rPr>
        <w:t>1. Violence</w:t>
      </w:r>
      <w:r w:rsidR="00FF0B3E">
        <w:rPr>
          <w:rFonts w:asciiTheme="minorHAnsi" w:hAnsiTheme="minorHAnsi"/>
          <w:b/>
          <w:color w:val="7030A0"/>
          <w:sz w:val="22"/>
          <w:szCs w:val="22"/>
        </w:rPr>
        <w:t xml:space="preserve">, including sexual violence, </w:t>
      </w:r>
      <w:r w:rsidR="00FB1AAA" w:rsidRPr="00441D3C">
        <w:rPr>
          <w:rFonts w:asciiTheme="minorHAnsi" w:hAnsiTheme="minorHAnsi"/>
          <w:b/>
          <w:color w:val="7030A0"/>
          <w:sz w:val="22"/>
          <w:szCs w:val="22"/>
        </w:rPr>
        <w:t>in mental health settings</w:t>
      </w:r>
      <w:bookmarkEnd w:id="10"/>
      <w:r w:rsidR="00727DD2">
        <w:rPr>
          <w:rFonts w:asciiTheme="minorHAnsi" w:hAnsiTheme="minorHAnsi"/>
          <w:b/>
          <w:color w:val="7030A0"/>
          <w:sz w:val="22"/>
          <w:szCs w:val="22"/>
        </w:rPr>
        <w:br/>
      </w:r>
    </w:p>
    <w:p w14:paraId="648CAF50" w14:textId="77777777" w:rsidR="00703FAE" w:rsidRDefault="007B703B" w:rsidP="00527DE7">
      <w:pPr>
        <w:jc w:val="both"/>
      </w:pPr>
      <w:r>
        <w:t>The current Terms of Reference do not</w:t>
      </w:r>
      <w:r w:rsidR="004C1997">
        <w:t xml:space="preserve"> specifically</w:t>
      </w:r>
      <w:r>
        <w:t xml:space="preserve"> include the </w:t>
      </w:r>
      <w:r w:rsidR="00E3146B">
        <w:t>experience</w:t>
      </w:r>
      <w:r w:rsidR="004C1997">
        <w:t>s</w:t>
      </w:r>
      <w:r w:rsidR="00E3146B">
        <w:t xml:space="preserve"> of violence, coercion and harm experienced by consumers</w:t>
      </w:r>
      <w:r w:rsidR="005856AD">
        <w:t xml:space="preserve"> in mental health settings</w:t>
      </w:r>
      <w:r w:rsidR="00E3146B">
        <w:t xml:space="preserve">. </w:t>
      </w:r>
      <w:r w:rsidR="005856AD">
        <w:t xml:space="preserve">Issues around violence include, but are not limited to, the use of </w:t>
      </w:r>
      <w:r w:rsidR="0010462A">
        <w:t>c</w:t>
      </w:r>
      <w:r w:rsidR="004C1997">
        <w:t>ompulsory</w:t>
      </w:r>
      <w:r>
        <w:t xml:space="preserve"> po</w:t>
      </w:r>
      <w:r w:rsidR="0010462A">
        <w:t xml:space="preserve">wers, </w:t>
      </w:r>
      <w:r w:rsidR="005856AD">
        <w:t>seclusion</w:t>
      </w:r>
      <w:r w:rsidR="00C26014">
        <w:t xml:space="preserve">, </w:t>
      </w:r>
      <w:r w:rsidR="0010462A">
        <w:t xml:space="preserve">restrictive interventions, </w:t>
      </w:r>
      <w:r w:rsidR="00DA43BC">
        <w:t>coercion</w:t>
      </w:r>
      <w:r w:rsidR="005856AD">
        <w:t xml:space="preserve"> and </w:t>
      </w:r>
      <w:r w:rsidR="0010462A">
        <w:t>sexual assault</w:t>
      </w:r>
      <w:r w:rsidR="000859CB">
        <w:t xml:space="preserve">. </w:t>
      </w:r>
      <w:r w:rsidR="001A4894">
        <w:t>Violence and harm experienced by consumers should be an important priority for the Royal Commission,</w:t>
      </w:r>
      <w:r w:rsidR="004C1997">
        <w:t xml:space="preserve"> as consumers</w:t>
      </w:r>
      <w:r w:rsidR="00DA43BC">
        <w:t xml:space="preserve"> </w:t>
      </w:r>
      <w:r w:rsidR="00E3146B">
        <w:t xml:space="preserve">continue to experience serious harms in Victorian mental health </w:t>
      </w:r>
      <w:r w:rsidR="004C1997">
        <w:t>s</w:t>
      </w:r>
      <w:r w:rsidR="00FF0B3E">
        <w:t xml:space="preserve">ettings, many of which amount to human rights violations under the </w:t>
      </w:r>
      <w:r w:rsidR="00FF0B3E" w:rsidRPr="00787001">
        <w:t>Convention on the Rights of Persons with Disabilities</w:t>
      </w:r>
      <w:r w:rsidR="00FF0B3E">
        <w:t xml:space="preserve"> (CRPD).</w:t>
      </w:r>
    </w:p>
    <w:p w14:paraId="042E748C" w14:textId="785094AD" w:rsidR="00703FAE" w:rsidRDefault="00E3146B" w:rsidP="00527DE7">
      <w:pPr>
        <w:jc w:val="both"/>
      </w:pPr>
      <w:r>
        <w:t xml:space="preserve">Despite </w:t>
      </w:r>
      <w:r w:rsidR="004C1997">
        <w:t>many years of</w:t>
      </w:r>
      <w:r w:rsidR="00527DE7">
        <w:t xml:space="preserve"> reports</w:t>
      </w:r>
      <w:r>
        <w:t xml:space="preserve">, </w:t>
      </w:r>
      <w:r w:rsidR="004C1997">
        <w:t xml:space="preserve">including the recent report, </w:t>
      </w:r>
      <w:r w:rsidR="004C1997" w:rsidRPr="0013408C">
        <w:rPr>
          <w:i/>
        </w:rPr>
        <w:t>The Right to Be Safe</w:t>
      </w:r>
      <w:r w:rsidR="0013408C" w:rsidRPr="0013408C">
        <w:rPr>
          <w:i/>
        </w:rPr>
        <w:t xml:space="preserve"> </w:t>
      </w:r>
      <w:r w:rsidR="00C26014">
        <w:t>(</w:t>
      </w:r>
      <w:r w:rsidR="0010462A">
        <w:t>2018</w:t>
      </w:r>
      <w:r w:rsidR="00C26014">
        <w:t>)</w:t>
      </w:r>
      <w:r w:rsidR="0010462A">
        <w:t xml:space="preserve"> </w:t>
      </w:r>
      <w:r w:rsidR="00D4245A">
        <w:t>published by</w:t>
      </w:r>
      <w:r w:rsidR="004C1997">
        <w:t xml:space="preserve"> the </w:t>
      </w:r>
      <w:r w:rsidR="004C1997" w:rsidRPr="00527DE7">
        <w:t xml:space="preserve">Mental Health Complaints Commissioner, </w:t>
      </w:r>
      <w:r w:rsidR="004C1997">
        <w:t xml:space="preserve">there has been </w:t>
      </w:r>
      <w:r w:rsidR="00C26014">
        <w:t xml:space="preserve">an ongoing, systemic </w:t>
      </w:r>
      <w:r w:rsidR="004C1997">
        <w:t xml:space="preserve">failure </w:t>
      </w:r>
      <w:r>
        <w:t xml:space="preserve">to protect </w:t>
      </w:r>
      <w:r w:rsidR="00BA62E3">
        <w:t>women</w:t>
      </w:r>
      <w:r>
        <w:t xml:space="preserve"> from sexua</w:t>
      </w:r>
      <w:r w:rsidR="0013408C">
        <w:t xml:space="preserve">l violence while in </w:t>
      </w:r>
      <w:r w:rsidR="00D4245A">
        <w:t>mental health wards</w:t>
      </w:r>
      <w:r w:rsidR="0013408C">
        <w:t xml:space="preserve">. </w:t>
      </w:r>
      <w:r w:rsidR="00741875">
        <w:t xml:space="preserve">The report confirms that </w:t>
      </w:r>
      <w:r w:rsidR="00741875" w:rsidRPr="00741875">
        <w:t>violence p</w:t>
      </w:r>
      <w:r w:rsidR="00741875">
        <w:t>revention mechanisms and policy</w:t>
      </w:r>
      <w:r w:rsidR="007E0A2D">
        <w:t xml:space="preserve">, including </w:t>
      </w:r>
      <w:r w:rsidR="00741875">
        <w:t>gender-sensitive training for all healthcare workers and single-gender wards and services</w:t>
      </w:r>
      <w:r w:rsidR="007E0A2D">
        <w:t xml:space="preserve">, </w:t>
      </w:r>
      <w:r w:rsidR="00787001">
        <w:t xml:space="preserve">is </w:t>
      </w:r>
      <w:r w:rsidR="007E0A2D">
        <w:t>urgently required</w:t>
      </w:r>
      <w:r w:rsidR="00741875">
        <w:t xml:space="preserve">. </w:t>
      </w:r>
      <w:r w:rsidR="00143F94" w:rsidRPr="00143F94">
        <w:t xml:space="preserve">High rates of violence against women within Victoria’s mental health services has also been </w:t>
      </w:r>
      <w:r w:rsidR="00971E3D">
        <w:t xml:space="preserve">well </w:t>
      </w:r>
      <w:r w:rsidR="00143F94" w:rsidRPr="00143F94">
        <w:t>documented by the Victorian Mental Illness Awareness Council (VMIAC) and the Women’s Mental Health Network Victoria (WMH</w:t>
      </w:r>
      <w:r w:rsidR="00EF5351">
        <w:t xml:space="preserve">NV), </w:t>
      </w:r>
      <w:r w:rsidR="00BA62E3">
        <w:t>among other groups</w:t>
      </w:r>
      <w:r w:rsidR="00143F94" w:rsidRPr="00143F94">
        <w:t>.</w:t>
      </w:r>
      <w:r w:rsidR="00143F94">
        <w:rPr>
          <w:rStyle w:val="FootnoteReference"/>
        </w:rPr>
        <w:footnoteReference w:id="4"/>
      </w:r>
      <w:r w:rsidR="00143F94">
        <w:t xml:space="preserve"> </w:t>
      </w:r>
    </w:p>
    <w:p w14:paraId="140D48D2" w14:textId="5FDBE563" w:rsidR="006F389B" w:rsidRPr="006F389B" w:rsidRDefault="008E6823" w:rsidP="00697708">
      <w:pPr>
        <w:spacing w:line="240" w:lineRule="auto"/>
        <w:jc w:val="both"/>
      </w:pPr>
      <w:r w:rsidRPr="008E6823">
        <w:t xml:space="preserve">Women still experience potentially </w:t>
      </w:r>
      <w:r w:rsidR="00EC3B65">
        <w:t>traumatis</w:t>
      </w:r>
      <w:r w:rsidR="00C26014">
        <w:t xml:space="preserve">ing </w:t>
      </w:r>
      <w:r w:rsidRPr="008E6823">
        <w:t>encounters in mental health units, with 85% reporting they felt unsafe, 67% experiencing sexual or other forms of harassment and 45% experiencing sexual assault during an in-patient admission</w:t>
      </w:r>
      <w:r>
        <w:t>.</w:t>
      </w:r>
      <w:r>
        <w:rPr>
          <w:rStyle w:val="FootnoteReference"/>
        </w:rPr>
        <w:footnoteReference w:id="5"/>
      </w:r>
      <w:r w:rsidR="00143F94">
        <w:t xml:space="preserve"> The </w:t>
      </w:r>
      <w:r w:rsidR="00595D80">
        <w:t>W</w:t>
      </w:r>
      <w:r w:rsidR="00EC3B65">
        <w:t xml:space="preserve">MHNV </w:t>
      </w:r>
      <w:r w:rsidR="00595D80">
        <w:t xml:space="preserve">2016 Hospital Experience Survey found that 65% of women were not given the option of </w:t>
      </w:r>
      <w:r w:rsidR="00143F94">
        <w:t>care in a female only corridor and many w</w:t>
      </w:r>
      <w:r w:rsidR="00595D80" w:rsidRPr="00595D80">
        <w:t xml:space="preserve">omen </w:t>
      </w:r>
      <w:r w:rsidR="00143F94">
        <w:t>reported</w:t>
      </w:r>
      <w:r w:rsidR="00595D80" w:rsidRPr="00595D80">
        <w:t xml:space="preserve"> feel</w:t>
      </w:r>
      <w:r w:rsidR="00143F94">
        <w:t>ing</w:t>
      </w:r>
      <w:r w:rsidR="00595D80" w:rsidRPr="00595D80">
        <w:t xml:space="preserve"> unsafe in mixed gende</w:t>
      </w:r>
      <w:r w:rsidR="00595D80">
        <w:t>r units due to lack of privacy and</w:t>
      </w:r>
      <w:r w:rsidR="00595D80" w:rsidRPr="00595D80">
        <w:t xml:space="preserve"> safety</w:t>
      </w:r>
      <w:r w:rsidR="00595D80">
        <w:t>.</w:t>
      </w:r>
      <w:r w:rsidR="008E1373">
        <w:t xml:space="preserve"> </w:t>
      </w:r>
      <w:r w:rsidR="00703FAE">
        <w:t xml:space="preserve">It is unacceptable that Victoria’s </w:t>
      </w:r>
      <w:r w:rsidR="00703FAE" w:rsidRPr="00703FAE">
        <w:t xml:space="preserve">mental </w:t>
      </w:r>
      <w:r w:rsidR="00703FAE" w:rsidRPr="00703FAE">
        <w:lastRenderedPageBreak/>
        <w:t>health services are</w:t>
      </w:r>
      <w:r w:rsidR="00703FAE">
        <w:t xml:space="preserve"> un</w:t>
      </w:r>
      <w:r w:rsidR="0031398C">
        <w:t xml:space="preserve">safe places for </w:t>
      </w:r>
      <w:r w:rsidR="00971E3D">
        <w:t xml:space="preserve">women and the Royal Commission must be able to </w:t>
      </w:r>
      <w:r w:rsidR="00340CB2">
        <w:t>address this by naming it specifically as a focus area for the Royal Commission’s work.</w:t>
      </w:r>
      <w:r w:rsidR="00350CD2">
        <w:t xml:space="preserve"> </w:t>
      </w:r>
      <w:r w:rsidR="006F389B">
        <w:t xml:space="preserve"> </w:t>
      </w:r>
    </w:p>
    <w:p w14:paraId="13DCFAB9" w14:textId="77777777" w:rsidR="00B97622" w:rsidRPr="007E6013" w:rsidRDefault="00DE3E68" w:rsidP="00441D3C">
      <w:pPr>
        <w:pStyle w:val="Heading3"/>
        <w:rPr>
          <w:rFonts w:asciiTheme="minorHAnsi" w:hAnsiTheme="minorHAnsi"/>
          <w:b/>
          <w:color w:val="7030A0"/>
          <w:sz w:val="22"/>
          <w:szCs w:val="22"/>
        </w:rPr>
      </w:pPr>
      <w:bookmarkStart w:id="11" w:name="_Toc535489849"/>
      <w:r w:rsidRPr="007E6013">
        <w:rPr>
          <w:rFonts w:asciiTheme="minorHAnsi" w:hAnsiTheme="minorHAnsi"/>
          <w:b/>
          <w:color w:val="7030A0"/>
          <w:sz w:val="22"/>
          <w:szCs w:val="22"/>
        </w:rPr>
        <w:t xml:space="preserve">2. </w:t>
      </w:r>
      <w:r w:rsidR="002D5951">
        <w:rPr>
          <w:rFonts w:asciiTheme="minorHAnsi" w:hAnsiTheme="minorHAnsi"/>
          <w:b/>
          <w:color w:val="7030A0"/>
          <w:sz w:val="22"/>
          <w:szCs w:val="22"/>
        </w:rPr>
        <w:t>The National Disability Insurance Scheme (NDIS)</w:t>
      </w:r>
      <w:r w:rsidR="002E1481">
        <w:rPr>
          <w:rFonts w:asciiTheme="minorHAnsi" w:hAnsiTheme="minorHAnsi"/>
          <w:b/>
          <w:color w:val="7030A0"/>
          <w:sz w:val="22"/>
          <w:szCs w:val="22"/>
        </w:rPr>
        <w:t xml:space="preserve"> and gaps in the system</w:t>
      </w:r>
      <w:bookmarkEnd w:id="11"/>
      <w:r w:rsidRPr="007E6013">
        <w:rPr>
          <w:rFonts w:asciiTheme="minorHAnsi" w:hAnsiTheme="minorHAnsi"/>
          <w:b/>
          <w:color w:val="7030A0"/>
          <w:sz w:val="22"/>
          <w:szCs w:val="22"/>
        </w:rPr>
        <w:t xml:space="preserve"> </w:t>
      </w:r>
      <w:r w:rsidR="007E6013" w:rsidRPr="007E6013">
        <w:rPr>
          <w:rFonts w:asciiTheme="minorHAnsi" w:hAnsiTheme="minorHAnsi"/>
          <w:b/>
          <w:color w:val="7030A0"/>
          <w:sz w:val="22"/>
          <w:szCs w:val="22"/>
        </w:rPr>
        <w:br/>
      </w:r>
    </w:p>
    <w:p w14:paraId="1F8B41E8" w14:textId="6E540DA8" w:rsidR="008E6588" w:rsidRDefault="003A64EE" w:rsidP="00864166">
      <w:pPr>
        <w:jc w:val="both"/>
      </w:pPr>
      <w:r>
        <w:t>N</w:t>
      </w:r>
      <w:r w:rsidR="007B1661">
        <w:t>o</w:t>
      </w:r>
      <w:r w:rsidR="00A1061F">
        <w:t xml:space="preserve">t all people with </w:t>
      </w:r>
      <w:r w:rsidR="00A23DA2">
        <w:t xml:space="preserve">psychosocial </w:t>
      </w:r>
      <w:r w:rsidR="007B1661">
        <w:t>disabilitie</w:t>
      </w:r>
      <w:r w:rsidR="002D5951">
        <w:t>s will be eligible for the NDI</w:t>
      </w:r>
      <w:r w:rsidR="00A1061F">
        <w:t>S.</w:t>
      </w:r>
      <w:r w:rsidR="007B1661">
        <w:t xml:space="preserve"> </w:t>
      </w:r>
      <w:r w:rsidR="00864166" w:rsidRPr="00DD091D">
        <w:t xml:space="preserve">While the NDIS will be a central service in the lives of people many with disabilities, we must recognise that many thousands of people with disabilities will not receive services, either because they are </w:t>
      </w:r>
      <w:r w:rsidR="00A1061F">
        <w:t xml:space="preserve">not </w:t>
      </w:r>
      <w:r w:rsidR="00864166" w:rsidRPr="00DD091D">
        <w:t xml:space="preserve">eligible </w:t>
      </w:r>
      <w:r w:rsidR="00A1061F">
        <w:t xml:space="preserve">or </w:t>
      </w:r>
      <w:r w:rsidR="00864166" w:rsidRPr="00DD091D">
        <w:t xml:space="preserve">because they are not in a position to </w:t>
      </w:r>
      <w:r w:rsidR="0007434D" w:rsidRPr="00DD091D">
        <w:t>self-refer</w:t>
      </w:r>
      <w:r w:rsidR="00864166" w:rsidRPr="00DD091D">
        <w:t xml:space="preserve"> (for example, they do not have access to </w:t>
      </w:r>
      <w:r w:rsidR="00A1061F">
        <w:t xml:space="preserve">information about who can apply, </w:t>
      </w:r>
      <w:r w:rsidR="00864166" w:rsidRPr="00DD091D">
        <w:t>how to do so</w:t>
      </w:r>
      <w:r w:rsidR="00A1061F">
        <w:t xml:space="preserve"> or do not identify as a person with a disability</w:t>
      </w:r>
      <w:r w:rsidR="00864166" w:rsidRPr="00DD091D">
        <w:t>).</w:t>
      </w:r>
    </w:p>
    <w:p w14:paraId="3C6C2BB0" w14:textId="27C0ADB3" w:rsidR="007B1661" w:rsidRPr="00CB6FAF" w:rsidRDefault="00DA3D5A" w:rsidP="00864166">
      <w:pPr>
        <w:jc w:val="both"/>
      </w:pPr>
      <w:r>
        <w:t xml:space="preserve">Additional challenges have been encountered as the fundamental design features of the </w:t>
      </w:r>
      <w:r w:rsidR="008E6588">
        <w:t>NDIS</w:t>
      </w:r>
      <w:r>
        <w:t xml:space="preserve"> were developed </w:t>
      </w:r>
      <w:r w:rsidR="003A64EE">
        <w:t xml:space="preserve">largely </w:t>
      </w:r>
      <w:r>
        <w:t xml:space="preserve">without reference to the needs people with psychosocial disabilities as a particular cohort. </w:t>
      </w:r>
      <w:r w:rsidR="007B1661">
        <w:t xml:space="preserve">Many </w:t>
      </w:r>
      <w:r w:rsidR="00A64EBA">
        <w:t>mental health consumers</w:t>
      </w:r>
      <w:r w:rsidR="007B1661" w:rsidRPr="007B1661">
        <w:t xml:space="preserve"> </w:t>
      </w:r>
      <w:r w:rsidR="007B1661">
        <w:t>feel they have been</w:t>
      </w:r>
      <w:r w:rsidR="00A1061F">
        <w:t xml:space="preserve"> locked out of the NDIS.</w:t>
      </w:r>
      <w:r w:rsidR="007B1661" w:rsidRPr="007B1661">
        <w:t xml:space="preserve"> </w:t>
      </w:r>
      <w:r w:rsidR="00A1061F">
        <w:t>M</w:t>
      </w:r>
      <w:r w:rsidR="00CB2F07">
        <w:t>eanwhile</w:t>
      </w:r>
      <w:r w:rsidR="007B1661" w:rsidRPr="007B1661">
        <w:t xml:space="preserve"> the community support sector has been </w:t>
      </w:r>
      <w:r w:rsidR="002E1481">
        <w:t>weakened as funding has not kept pace with the significant pop</w:t>
      </w:r>
      <w:r w:rsidR="00A1061F">
        <w:t xml:space="preserve">ulation growth in Victoria. </w:t>
      </w:r>
      <w:r w:rsidR="00F12295">
        <w:t xml:space="preserve">There must be </w:t>
      </w:r>
      <w:r w:rsidR="000306F1">
        <w:t xml:space="preserve">support </w:t>
      </w:r>
      <w:r w:rsidR="00F12295">
        <w:t xml:space="preserve">options </w:t>
      </w:r>
      <w:r w:rsidR="000306F1">
        <w:t xml:space="preserve">for people </w:t>
      </w:r>
      <w:r w:rsidR="00F12295">
        <w:t>beyond the NDIS</w:t>
      </w:r>
      <w:r w:rsidR="000306F1">
        <w:t xml:space="preserve"> in community mental health services</w:t>
      </w:r>
      <w:r w:rsidR="00F12295">
        <w:t xml:space="preserve">. </w:t>
      </w:r>
      <w:r w:rsidR="00A1061F">
        <w:t>The Royal Commission m</w:t>
      </w:r>
      <w:r w:rsidR="00AE6EBA">
        <w:t xml:space="preserve">ust address these emerging gaps, </w:t>
      </w:r>
      <w:r w:rsidR="00A1061F">
        <w:t xml:space="preserve">the reform </w:t>
      </w:r>
      <w:r w:rsidR="00C901A0">
        <w:t xml:space="preserve">and funding commitment </w:t>
      </w:r>
      <w:r w:rsidR="00A1061F">
        <w:t>that needs to occur to prevent and address this.</w:t>
      </w:r>
    </w:p>
    <w:p w14:paraId="1CD4C094" w14:textId="77777777" w:rsidR="00DE3E68" w:rsidRPr="001F173B" w:rsidRDefault="00DE3E68" w:rsidP="00441D3C">
      <w:pPr>
        <w:pStyle w:val="Heading3"/>
        <w:rPr>
          <w:rFonts w:asciiTheme="minorHAnsi" w:hAnsiTheme="minorHAnsi"/>
          <w:b/>
          <w:color w:val="7030A0"/>
          <w:sz w:val="22"/>
          <w:szCs w:val="22"/>
        </w:rPr>
      </w:pPr>
      <w:bookmarkStart w:id="12" w:name="_Toc535489850"/>
      <w:r w:rsidRPr="001F173B">
        <w:rPr>
          <w:rFonts w:asciiTheme="minorHAnsi" w:hAnsiTheme="minorHAnsi"/>
          <w:b/>
          <w:color w:val="7030A0"/>
          <w:sz w:val="22"/>
          <w:szCs w:val="22"/>
        </w:rPr>
        <w:t>3. Social inclusion</w:t>
      </w:r>
      <w:bookmarkEnd w:id="12"/>
    </w:p>
    <w:p w14:paraId="28ECA5BD" w14:textId="77777777" w:rsidR="009805FD" w:rsidRDefault="00AD5E1F" w:rsidP="009805FD">
      <w:pPr>
        <w:jc w:val="both"/>
      </w:pPr>
      <w:r>
        <w:br/>
      </w:r>
      <w:r w:rsidR="00DE3E68">
        <w:t xml:space="preserve">Many </w:t>
      </w:r>
      <w:r w:rsidR="00312024">
        <w:t>women</w:t>
      </w:r>
      <w:r w:rsidR="00DE3E68">
        <w:t xml:space="preserve"> with </w:t>
      </w:r>
      <w:r w:rsidR="001770E0">
        <w:t>psychosocial disabilities</w:t>
      </w:r>
      <w:r w:rsidR="00312024">
        <w:t xml:space="preserve"> </w:t>
      </w:r>
      <w:r w:rsidR="00C837D0">
        <w:t xml:space="preserve">can </w:t>
      </w:r>
      <w:r w:rsidR="00312024">
        <w:t>face stigma</w:t>
      </w:r>
      <w:r w:rsidR="00C837D0">
        <w:t>, isolation</w:t>
      </w:r>
      <w:r w:rsidR="00C434C6">
        <w:t xml:space="preserve"> and attitudinal barriers</w:t>
      </w:r>
      <w:r w:rsidR="009805FD">
        <w:t xml:space="preserve"> in the community.</w:t>
      </w:r>
      <w:r w:rsidR="00372D86">
        <w:t xml:space="preserve"> </w:t>
      </w:r>
      <w:r w:rsidR="000F7B86">
        <w:t>Negative c</w:t>
      </w:r>
      <w:r w:rsidR="00312024">
        <w:t xml:space="preserve">ommunity attitudes, </w:t>
      </w:r>
      <w:r w:rsidR="000F7B86">
        <w:t xml:space="preserve">stereotypes and a </w:t>
      </w:r>
      <w:r w:rsidR="00312024">
        <w:t xml:space="preserve">lack of opportunities </w:t>
      </w:r>
      <w:r w:rsidR="000048EE">
        <w:t>impact</w:t>
      </w:r>
      <w:r w:rsidR="00372D86">
        <w:t xml:space="preserve"> wellbeing</w:t>
      </w:r>
      <w:r w:rsidR="00312024">
        <w:t>, recovery</w:t>
      </w:r>
      <w:r w:rsidR="009805FD">
        <w:t xml:space="preserve"> and </w:t>
      </w:r>
      <w:r w:rsidR="00312024">
        <w:t>levels of participation</w:t>
      </w:r>
      <w:r w:rsidR="004F7D8D">
        <w:t xml:space="preserve"> in community. </w:t>
      </w:r>
      <w:r w:rsidR="000F7B86">
        <w:t>Many</w:t>
      </w:r>
      <w:r w:rsidR="00EB65D3">
        <w:t xml:space="preserve"> would stand to benefit from further access to pe</w:t>
      </w:r>
      <w:r w:rsidR="000F7B86">
        <w:t>er support groups</w:t>
      </w:r>
      <w:r w:rsidR="000048EE">
        <w:t>, programs</w:t>
      </w:r>
      <w:r w:rsidR="000F7B86">
        <w:t xml:space="preserve"> and advocacy services. </w:t>
      </w:r>
      <w:r w:rsidR="00372D86">
        <w:t>While preventing suicide</w:t>
      </w:r>
      <w:r w:rsidR="00D23EDF">
        <w:t xml:space="preserve"> and assisting those at risk of suicide</w:t>
      </w:r>
      <w:r w:rsidR="00372D86">
        <w:t xml:space="preserve"> is highly important, we must also do more to ensure that a decrease in suicide is not the </w:t>
      </w:r>
      <w:r w:rsidR="00EB65D3">
        <w:t xml:space="preserve">only </w:t>
      </w:r>
      <w:r w:rsidR="00991878">
        <w:t>marker for</w:t>
      </w:r>
      <w:r w:rsidR="00EB65D3">
        <w:t xml:space="preserve"> </w:t>
      </w:r>
      <w:r w:rsidR="00991878">
        <w:t>measuring</w:t>
      </w:r>
      <w:r w:rsidR="00312024">
        <w:t xml:space="preserve"> improved mental health, and that increasing social inclusion and connection for consumers of mental health services is also an important theme </w:t>
      </w:r>
      <w:r w:rsidR="004F7D8D">
        <w:t>for the Royal Commission’s work.</w:t>
      </w:r>
    </w:p>
    <w:p w14:paraId="199F1170" w14:textId="77777777" w:rsidR="0026440B" w:rsidRPr="009805FD" w:rsidRDefault="00D905E2" w:rsidP="009805FD">
      <w:pPr>
        <w:pStyle w:val="Heading2"/>
        <w:rPr>
          <w:rFonts w:asciiTheme="minorHAnsi" w:hAnsiTheme="minorHAnsi"/>
          <w:b/>
        </w:rPr>
      </w:pPr>
      <w:bookmarkStart w:id="13" w:name="_Toc535489851"/>
      <w:r w:rsidRPr="009805FD">
        <w:rPr>
          <w:rFonts w:asciiTheme="minorHAnsi" w:hAnsiTheme="minorHAnsi"/>
          <w:b/>
          <w:color w:val="7030A0"/>
        </w:rPr>
        <w:t>The Commission’s process</w:t>
      </w:r>
      <w:bookmarkEnd w:id="13"/>
      <w:r w:rsidR="00AD5E1F" w:rsidRPr="009805FD">
        <w:rPr>
          <w:rFonts w:asciiTheme="minorHAnsi" w:hAnsiTheme="minorHAnsi"/>
          <w:b/>
        </w:rPr>
        <w:br/>
      </w:r>
    </w:p>
    <w:p w14:paraId="066CBDFF" w14:textId="77777777" w:rsidR="00D905E2" w:rsidRPr="007F513E" w:rsidRDefault="00781F7B" w:rsidP="00441D3C">
      <w:pPr>
        <w:pStyle w:val="Heading3"/>
        <w:rPr>
          <w:rFonts w:asciiTheme="minorHAnsi" w:hAnsiTheme="minorHAnsi"/>
          <w:b/>
          <w:color w:val="7030A0"/>
          <w:sz w:val="22"/>
          <w:szCs w:val="22"/>
        </w:rPr>
      </w:pPr>
      <w:bookmarkStart w:id="14" w:name="_Toc535489852"/>
      <w:r w:rsidRPr="007F513E">
        <w:rPr>
          <w:rFonts w:asciiTheme="minorHAnsi" w:hAnsiTheme="minorHAnsi"/>
          <w:b/>
          <w:color w:val="7030A0"/>
          <w:sz w:val="22"/>
          <w:szCs w:val="22"/>
        </w:rPr>
        <w:t xml:space="preserve">Centering consumer voice </w:t>
      </w:r>
      <w:r w:rsidR="00D905E2" w:rsidRPr="007F513E">
        <w:rPr>
          <w:rFonts w:asciiTheme="minorHAnsi" w:hAnsiTheme="minorHAnsi"/>
          <w:b/>
          <w:color w:val="7030A0"/>
          <w:sz w:val="22"/>
          <w:szCs w:val="22"/>
        </w:rPr>
        <w:t>and feedback</w:t>
      </w:r>
      <w:bookmarkEnd w:id="14"/>
      <w:r w:rsidR="00AD5E1F" w:rsidRPr="007F513E">
        <w:rPr>
          <w:rFonts w:asciiTheme="minorHAnsi" w:hAnsiTheme="minorHAnsi"/>
          <w:b/>
          <w:color w:val="7030A0"/>
          <w:sz w:val="22"/>
          <w:szCs w:val="22"/>
        </w:rPr>
        <w:br/>
      </w:r>
    </w:p>
    <w:p w14:paraId="14C19DFB" w14:textId="77777777" w:rsidR="00D905E2" w:rsidRPr="007F513E" w:rsidRDefault="005A7150" w:rsidP="007F513E">
      <w:pPr>
        <w:jc w:val="both"/>
      </w:pPr>
      <w:r>
        <w:t>M</w:t>
      </w:r>
      <w:r w:rsidR="00D905E2">
        <w:t xml:space="preserve">ental health </w:t>
      </w:r>
      <w:r>
        <w:t>is an</w:t>
      </w:r>
      <w:r w:rsidR="000C3D2E">
        <w:t xml:space="preserve"> </w:t>
      </w:r>
      <w:r w:rsidR="00D905E2">
        <w:t>issue</w:t>
      </w:r>
      <w:r w:rsidR="00E06A27">
        <w:t xml:space="preserve"> that impact</w:t>
      </w:r>
      <w:r>
        <w:t>s</w:t>
      </w:r>
      <w:r w:rsidR="00D905E2">
        <w:t xml:space="preserve"> many, if not all, Victorians. However</w:t>
      </w:r>
      <w:r w:rsidR="000C3D2E">
        <w:t>,</w:t>
      </w:r>
      <w:r w:rsidR="00D905E2">
        <w:t xml:space="preserve"> </w:t>
      </w:r>
      <w:r w:rsidR="00F827A1">
        <w:t xml:space="preserve">to get it right, </w:t>
      </w:r>
      <w:r w:rsidR="00D905E2">
        <w:t xml:space="preserve">the central </w:t>
      </w:r>
      <w:r w:rsidR="000C3D2E">
        <w:t xml:space="preserve">and underlying </w:t>
      </w:r>
      <w:r w:rsidR="00D905E2">
        <w:t xml:space="preserve">focus </w:t>
      </w:r>
      <w:r w:rsidR="000C3D2E">
        <w:t xml:space="preserve">of the Royal Commission </w:t>
      </w:r>
      <w:r w:rsidR="00D905E2">
        <w:t xml:space="preserve">needs to be </w:t>
      </w:r>
      <w:r w:rsidR="00AD5E1F">
        <w:t>on the people who</w:t>
      </w:r>
      <w:r w:rsidR="00D905E2">
        <w:t xml:space="preserve"> </w:t>
      </w:r>
      <w:r w:rsidR="006B36B4">
        <w:t xml:space="preserve">directly </w:t>
      </w:r>
      <w:r w:rsidR="000C3D2E">
        <w:t xml:space="preserve">use </w:t>
      </w:r>
      <w:r w:rsidR="00B814B2">
        <w:t>the system</w:t>
      </w:r>
      <w:r w:rsidR="000C3D2E">
        <w:t>.</w:t>
      </w:r>
      <w:r w:rsidR="00E06A27">
        <w:t xml:space="preserve"> </w:t>
      </w:r>
      <w:r>
        <w:t>The l</w:t>
      </w:r>
      <w:r w:rsidR="00E06A27">
        <w:t xml:space="preserve">ived experience </w:t>
      </w:r>
      <w:r>
        <w:t>of</w:t>
      </w:r>
      <w:r w:rsidR="00E06A27">
        <w:t xml:space="preserve"> users and consumers of the mental health system need to b</w:t>
      </w:r>
      <w:r w:rsidR="00A1188A">
        <w:t xml:space="preserve">e respected, valued and </w:t>
      </w:r>
      <w:r w:rsidR="00DF72CA">
        <w:t>privileged,</w:t>
      </w:r>
      <w:r w:rsidR="00A1188A">
        <w:t xml:space="preserve"> because often their voice is not heard, made invisible, or disrega</w:t>
      </w:r>
      <w:r w:rsidR="00C546C1">
        <w:t>rded in favo</w:t>
      </w:r>
      <w:r w:rsidR="003D1E6D">
        <w:t>r of the “experts” or carers</w:t>
      </w:r>
      <w:r w:rsidR="00C546C1">
        <w:t>. But, consumers can speak for themselves. This is why w</w:t>
      </w:r>
      <w:r w:rsidR="007F513E" w:rsidRPr="007F513E">
        <w:t xml:space="preserve">e want to see an advisory group of consumers who can help lead </w:t>
      </w:r>
      <w:r w:rsidR="00131688">
        <w:t xml:space="preserve">and shape </w:t>
      </w:r>
      <w:r w:rsidR="007F513E" w:rsidRPr="007F513E">
        <w:t>the Royal Commission</w:t>
      </w:r>
      <w:r w:rsidR="00131688">
        <w:t>’s work.</w:t>
      </w:r>
    </w:p>
    <w:p w14:paraId="62D65E74" w14:textId="77777777" w:rsidR="00D905E2" w:rsidRDefault="00B05792" w:rsidP="00D905E2">
      <w:pPr>
        <w:jc w:val="both"/>
      </w:pPr>
      <w:r>
        <w:t>Each focus area of the Terms of Reference</w:t>
      </w:r>
      <w:r w:rsidR="00D905E2" w:rsidRPr="00DE3E68">
        <w:t xml:space="preserve"> should be </w:t>
      </w:r>
      <w:r w:rsidR="000968CD">
        <w:t>underpinned</w:t>
      </w:r>
      <w:r>
        <w:t xml:space="preserve"> by centering consumers, </w:t>
      </w:r>
      <w:r w:rsidR="00D905E2">
        <w:t>the</w:t>
      </w:r>
      <w:r>
        <w:t xml:space="preserve">ir </w:t>
      </w:r>
      <w:r w:rsidR="00781F7B">
        <w:t xml:space="preserve">lived experience and expertise. </w:t>
      </w:r>
      <w:r w:rsidR="00D905E2">
        <w:t xml:space="preserve">The way the Commission conducts its work must </w:t>
      </w:r>
      <w:r w:rsidR="00781F7B">
        <w:t xml:space="preserve">involve consumer co-production, </w:t>
      </w:r>
      <w:r w:rsidR="00D905E2">
        <w:t>allow</w:t>
      </w:r>
      <w:r w:rsidR="00781F7B">
        <w:t>ing</w:t>
      </w:r>
      <w:r w:rsidR="00D905E2">
        <w:t xml:space="preserve"> for opportunities at every step of the way for consumer vo</w:t>
      </w:r>
      <w:r w:rsidR="00030079">
        <w:t xml:space="preserve">ice and feedback </w:t>
      </w:r>
      <w:r w:rsidR="00F43F62">
        <w:t xml:space="preserve">(including anonymous feedback) </w:t>
      </w:r>
      <w:r w:rsidR="00030079">
        <w:t>to be provided</w:t>
      </w:r>
      <w:r w:rsidR="00D905E2">
        <w:t xml:space="preserve"> </w:t>
      </w:r>
      <w:r>
        <w:t xml:space="preserve">and </w:t>
      </w:r>
      <w:r w:rsidR="0095564D">
        <w:t>to</w:t>
      </w:r>
      <w:r w:rsidR="00030079">
        <w:t xml:space="preserve"> enable</w:t>
      </w:r>
      <w:r>
        <w:t xml:space="preserve"> users </w:t>
      </w:r>
      <w:r w:rsidR="00030079">
        <w:t>to</w:t>
      </w:r>
      <w:r>
        <w:t xml:space="preserve"> meaningful</w:t>
      </w:r>
      <w:r w:rsidR="00030079">
        <w:t xml:space="preserve">ly </w:t>
      </w:r>
      <w:r>
        <w:t xml:space="preserve">have </w:t>
      </w:r>
      <w:r w:rsidR="00D905E2">
        <w:t xml:space="preserve">input </w:t>
      </w:r>
      <w:r>
        <w:t xml:space="preserve">into system design. This is vital for </w:t>
      </w:r>
      <w:r w:rsidR="00D905E2">
        <w:t>consumers and consumer groups to have faith in the Commission’s work.</w:t>
      </w:r>
    </w:p>
    <w:p w14:paraId="54F271CA" w14:textId="77777777" w:rsidR="00B05792" w:rsidRPr="007F513E" w:rsidRDefault="00B05792" w:rsidP="00B05792">
      <w:pPr>
        <w:pStyle w:val="Heading3"/>
        <w:rPr>
          <w:rFonts w:asciiTheme="minorHAnsi" w:hAnsiTheme="minorHAnsi"/>
          <w:b/>
          <w:color w:val="7030A0"/>
          <w:sz w:val="22"/>
          <w:szCs w:val="22"/>
        </w:rPr>
      </w:pPr>
      <w:bookmarkStart w:id="15" w:name="_Toc535489853"/>
      <w:r w:rsidRPr="007F513E">
        <w:rPr>
          <w:rFonts w:asciiTheme="minorHAnsi" w:hAnsiTheme="minorHAnsi"/>
          <w:b/>
          <w:color w:val="7030A0"/>
          <w:sz w:val="22"/>
          <w:szCs w:val="22"/>
        </w:rPr>
        <w:lastRenderedPageBreak/>
        <w:t>Accessibility</w:t>
      </w:r>
      <w:bookmarkEnd w:id="15"/>
      <w:r w:rsidRPr="007F513E">
        <w:rPr>
          <w:rFonts w:asciiTheme="minorHAnsi" w:hAnsiTheme="minorHAnsi"/>
          <w:b/>
          <w:color w:val="7030A0"/>
          <w:sz w:val="22"/>
          <w:szCs w:val="22"/>
        </w:rPr>
        <w:t xml:space="preserve"> </w:t>
      </w:r>
    </w:p>
    <w:p w14:paraId="74043091" w14:textId="28107118" w:rsidR="00F3520A" w:rsidRDefault="00B05792" w:rsidP="00727DD2">
      <w:pPr>
        <w:jc w:val="both"/>
      </w:pPr>
      <w:r>
        <w:br/>
      </w:r>
      <w:r w:rsidR="00C7148C">
        <w:t>T</w:t>
      </w:r>
      <w:r w:rsidR="00D905E2">
        <w:t xml:space="preserve">he specific needs and </w:t>
      </w:r>
      <w:r w:rsidR="004A7279">
        <w:t>accessibility requirements</w:t>
      </w:r>
      <w:r w:rsidR="00D905E2">
        <w:t xml:space="preserve"> of people with </w:t>
      </w:r>
      <w:r w:rsidR="00167F0C">
        <w:t xml:space="preserve">disabilities, and </w:t>
      </w:r>
      <w:r w:rsidR="004A7279">
        <w:t>the circumstances of people with</w:t>
      </w:r>
      <w:r w:rsidR="00167F0C">
        <w:t xml:space="preserve"> dual-disabilities or diagnosis</w:t>
      </w:r>
      <w:r w:rsidR="00C7148C">
        <w:t xml:space="preserve">, </w:t>
      </w:r>
      <w:r w:rsidR="004A7279">
        <w:t xml:space="preserve">must be kept front of mind. </w:t>
      </w:r>
      <w:r w:rsidR="00352E09">
        <w:t>For example, a</w:t>
      </w:r>
      <w:r w:rsidR="00352E09" w:rsidRPr="00352E09">
        <w:t xml:space="preserve"> significant number of people with disabilitie</w:t>
      </w:r>
      <w:r w:rsidR="00352E09">
        <w:t>s require mental health support and may face additional barriers in being included and participating equality</w:t>
      </w:r>
      <w:r w:rsidR="00C7148C">
        <w:t xml:space="preserve"> in the Royal Commission. </w:t>
      </w:r>
      <w:r w:rsidR="00056FE6" w:rsidRPr="00056FE6">
        <w:t xml:space="preserve">The 2007 </w:t>
      </w:r>
      <w:r w:rsidR="00056FE6" w:rsidRPr="00056FE6">
        <w:rPr>
          <w:lang w:val="en-AU"/>
        </w:rPr>
        <w:t>Australian National Survey of Mental Health and Wellbeing (NSMHWB)</w:t>
      </w:r>
      <w:r w:rsidR="00056FE6">
        <w:rPr>
          <w:lang w:val="en-AU"/>
        </w:rPr>
        <w:t xml:space="preserve"> </w:t>
      </w:r>
      <w:r w:rsidR="00056FE6" w:rsidRPr="00056FE6">
        <w:t>found that 11</w:t>
      </w:r>
      <w:r w:rsidR="00056FE6">
        <w:rPr>
          <w:rFonts w:ascii="Tahoma" w:hAnsi="Tahoma" w:cs="Tahoma"/>
        </w:rPr>
        <w:t>.</w:t>
      </w:r>
      <w:r w:rsidR="00056FE6" w:rsidRPr="00056FE6">
        <w:t>7% of adults with a m</w:t>
      </w:r>
      <w:r w:rsidR="00056FE6">
        <w:t xml:space="preserve">ental disorder in the previous </w:t>
      </w:r>
      <w:r w:rsidR="00056FE6" w:rsidRPr="00056FE6">
        <w:t>12 months als</w:t>
      </w:r>
      <w:r w:rsidR="00056FE6">
        <w:t xml:space="preserve">o reported a physical disorder, </w:t>
      </w:r>
      <w:r w:rsidR="00056FE6" w:rsidRPr="00056FE6">
        <w:t>with 5</w:t>
      </w:r>
      <w:r w:rsidR="00056FE6">
        <w:rPr>
          <w:rFonts w:ascii="Tahoma" w:hAnsi="Tahoma" w:cs="Tahoma"/>
        </w:rPr>
        <w:t>.</w:t>
      </w:r>
      <w:r w:rsidR="00056FE6">
        <w:t>3% reporting two or more mental disorders, and one</w:t>
      </w:r>
      <w:r w:rsidR="00056FE6" w:rsidRPr="00056FE6">
        <w:t xml:space="preserve"> or more </w:t>
      </w:r>
      <w:r w:rsidR="00056FE6">
        <w:t>‘</w:t>
      </w:r>
      <w:r w:rsidR="00056FE6" w:rsidRPr="00056FE6">
        <w:t>comorbid</w:t>
      </w:r>
      <w:r w:rsidR="00056FE6">
        <w:t>’</w:t>
      </w:r>
      <w:r w:rsidR="00056FE6" w:rsidRPr="00056FE6">
        <w:t xml:space="preserve"> physical conditions</w:t>
      </w:r>
      <w:r w:rsidR="00056FE6">
        <w:rPr>
          <w:rFonts w:ascii="Tahoma" w:hAnsi="Tahoma" w:cs="Tahoma"/>
        </w:rPr>
        <w:t>.</w:t>
      </w:r>
      <w:r w:rsidR="009516A5">
        <w:rPr>
          <w:rStyle w:val="FootnoteReference"/>
          <w:rFonts w:ascii="Tahoma" w:hAnsi="Tahoma" w:cs="Tahoma"/>
        </w:rPr>
        <w:footnoteReference w:id="6"/>
      </w:r>
      <w:r w:rsidR="009516A5">
        <w:rPr>
          <w:rFonts w:ascii="Tahoma" w:hAnsi="Tahoma" w:cs="Tahoma"/>
        </w:rPr>
        <w:t xml:space="preserve"> </w:t>
      </w:r>
      <w:r w:rsidR="00710CEA">
        <w:t xml:space="preserve">Better </w:t>
      </w:r>
      <w:r w:rsidR="00067C52">
        <w:t xml:space="preserve">population </w:t>
      </w:r>
      <w:r w:rsidR="00710CEA">
        <w:t>data collection methods around disability and mental illness are required for a more accurate picture</w:t>
      </w:r>
      <w:r w:rsidR="00067C52">
        <w:t xml:space="preserve">, for example in the way the ABS collects data about disability type (whether primary or secondary). </w:t>
      </w:r>
      <w:r w:rsidR="004A7279">
        <w:t>Individuals who</w:t>
      </w:r>
      <w:r w:rsidR="00167F0C">
        <w:t xml:space="preserve"> may need additional support </w:t>
      </w:r>
      <w:r w:rsidR="00727DD2">
        <w:t xml:space="preserve">in order </w:t>
      </w:r>
      <w:r w:rsidR="00167F0C">
        <w:t>to give evidence or parti</w:t>
      </w:r>
      <w:r w:rsidR="004A7279">
        <w:t xml:space="preserve">cipate in the Royal Commission should be </w:t>
      </w:r>
      <w:r w:rsidR="000110B2">
        <w:t xml:space="preserve">made </w:t>
      </w:r>
      <w:r w:rsidR="004A7279">
        <w:t xml:space="preserve">aware of how </w:t>
      </w:r>
      <w:r w:rsidR="00C7148C">
        <w:t>they can request this</w:t>
      </w:r>
      <w:r w:rsidR="004A7279">
        <w:t xml:space="preserve"> and be provided with a flexible range of options </w:t>
      </w:r>
      <w:r w:rsidR="00C7148C">
        <w:t xml:space="preserve">for </w:t>
      </w:r>
      <w:r w:rsidR="004A7279">
        <w:t>giving evidence</w:t>
      </w:r>
      <w:r w:rsidR="00C7148C">
        <w:t xml:space="preserve">. </w:t>
      </w:r>
    </w:p>
    <w:p w14:paraId="5FC810E0" w14:textId="77777777" w:rsidR="00FB15DD" w:rsidRDefault="00FB15DD" w:rsidP="00727DD2">
      <w:pPr>
        <w:jc w:val="both"/>
      </w:pPr>
      <w:r>
        <w:t>Because giving evidence, particularly around one’s lived experie</w:t>
      </w:r>
      <w:r w:rsidR="00F3520A">
        <w:t>nce of the mental health system</w:t>
      </w:r>
      <w:r>
        <w:t xml:space="preserve"> </w:t>
      </w:r>
      <w:r w:rsidR="00C566A5">
        <w:t>is likely to be</w:t>
      </w:r>
      <w:r>
        <w:t xml:space="preserve"> re</w:t>
      </w:r>
      <w:r w:rsidR="00B05F06">
        <w:t>-traumatising</w:t>
      </w:r>
      <w:r>
        <w:t>, assistance like counselling supp</w:t>
      </w:r>
      <w:r w:rsidR="00F3520A">
        <w:t>ort or the offer to allow, or have the Royal Commission</w:t>
      </w:r>
      <w:r w:rsidR="00C566A5">
        <w:t xml:space="preserve"> provide, </w:t>
      </w:r>
      <w:r w:rsidR="00F3520A">
        <w:t xml:space="preserve">a </w:t>
      </w:r>
      <w:r>
        <w:t>support person</w:t>
      </w:r>
      <w:r w:rsidR="00F3520A">
        <w:t xml:space="preserve">, </w:t>
      </w:r>
      <w:r>
        <w:t xml:space="preserve">should be </w:t>
      </w:r>
      <w:r w:rsidR="00F3520A">
        <w:t xml:space="preserve">made </w:t>
      </w:r>
      <w:r>
        <w:t xml:space="preserve">available so that </w:t>
      </w:r>
      <w:r w:rsidR="00C566A5">
        <w:t>people</w:t>
      </w:r>
      <w:r>
        <w:t xml:space="preserve"> </w:t>
      </w:r>
      <w:r w:rsidRPr="00FB15DD">
        <w:t>feel safe</w:t>
      </w:r>
      <w:r w:rsidR="00F3520A">
        <w:t xml:space="preserve"> and supported</w:t>
      </w:r>
      <w:r w:rsidRPr="00FB15DD">
        <w:t xml:space="preserve"> to </w:t>
      </w:r>
      <w:r>
        <w:t>share their story.</w:t>
      </w:r>
      <w:r w:rsidR="00781F7B">
        <w:t xml:space="preserve"> S</w:t>
      </w:r>
      <w:r w:rsidR="0061225B">
        <w:t>upport roles should be availab</w:t>
      </w:r>
      <w:r w:rsidR="00781F7B">
        <w:t>le to people who are consumers, or who have lived experience of the mental health system.</w:t>
      </w:r>
    </w:p>
    <w:p w14:paraId="193C584A" w14:textId="77777777" w:rsidR="005202FE" w:rsidRDefault="004A7279" w:rsidP="00122A74">
      <w:pPr>
        <w:jc w:val="both"/>
      </w:pPr>
      <w:r>
        <w:t xml:space="preserve">A commitment to accessibility means more than adhering </w:t>
      </w:r>
      <w:r w:rsidR="00C7148C">
        <w:t>to the</w:t>
      </w:r>
      <w:r>
        <w:t xml:space="preserve"> obligations under </w:t>
      </w:r>
      <w:r w:rsidRPr="00C7148C">
        <w:t>the</w:t>
      </w:r>
      <w:r w:rsidRPr="004A7279">
        <w:rPr>
          <w:i/>
        </w:rPr>
        <w:t xml:space="preserve"> Disability Discrimination Act</w:t>
      </w:r>
      <w:r w:rsidR="00352E09">
        <w:t xml:space="preserve"> </w:t>
      </w:r>
      <w:r w:rsidR="00C7148C">
        <w:t>1992 (Cth), but also about having a strengths-</w:t>
      </w:r>
      <w:r w:rsidR="00352E09" w:rsidRPr="00352E09">
        <w:t>based v</w:t>
      </w:r>
      <w:r w:rsidR="00C7148C">
        <w:t xml:space="preserve">iew of people with disabilities, which is the approach that the Royal Commission ought to take in facilitating the involvement of people with disabilities. </w:t>
      </w:r>
      <w:r w:rsidR="00122A74">
        <w:t xml:space="preserve">Funds and outreach efforts should </w:t>
      </w:r>
      <w:r w:rsidR="00B070E3">
        <w:t xml:space="preserve">also </w:t>
      </w:r>
      <w:r w:rsidR="00122A74">
        <w:t xml:space="preserve">be made available to assist people who live in rural and regional Victoria and people in Culturally and Linguistically Diverse (CALD) communities to ensure that </w:t>
      </w:r>
      <w:r w:rsidR="004A7384">
        <w:t>people all across Victoria can be heard.</w:t>
      </w:r>
    </w:p>
    <w:p w14:paraId="3B13CC79" w14:textId="77777777" w:rsidR="00A95EEB" w:rsidRPr="00441D3C" w:rsidRDefault="00A95EEB" w:rsidP="00441D3C">
      <w:pPr>
        <w:pStyle w:val="Heading2"/>
        <w:rPr>
          <w:rFonts w:asciiTheme="minorHAnsi" w:hAnsiTheme="minorHAnsi"/>
          <w:b/>
          <w:color w:val="7030A0"/>
        </w:rPr>
      </w:pPr>
      <w:bookmarkStart w:id="16" w:name="_Toc535489854"/>
      <w:r w:rsidRPr="00441D3C">
        <w:rPr>
          <w:rFonts w:asciiTheme="minorHAnsi" w:hAnsiTheme="minorHAnsi"/>
          <w:b/>
          <w:color w:val="7030A0"/>
        </w:rPr>
        <w:t>Outcomes</w:t>
      </w:r>
      <w:bookmarkEnd w:id="16"/>
      <w:r w:rsidR="00EB510A">
        <w:rPr>
          <w:rFonts w:asciiTheme="minorHAnsi" w:hAnsiTheme="minorHAnsi"/>
          <w:b/>
          <w:color w:val="7030A0"/>
        </w:rPr>
        <w:br/>
      </w:r>
    </w:p>
    <w:p w14:paraId="019823A4" w14:textId="77777777" w:rsidR="00A71D40" w:rsidRDefault="00F218D1" w:rsidP="00C2463D">
      <w:pPr>
        <w:jc w:val="both"/>
      </w:pPr>
      <w:r>
        <w:t>W</w:t>
      </w:r>
      <w:r w:rsidR="00A53433">
        <w:t xml:space="preserve">e would like to see </w:t>
      </w:r>
      <w:r>
        <w:t>the</w:t>
      </w:r>
      <w:r w:rsidR="00A95EEB">
        <w:t xml:space="preserve"> Royal Commission </w:t>
      </w:r>
      <w:r w:rsidR="00D61212">
        <w:t>be guided throug</w:t>
      </w:r>
      <w:r>
        <w:t xml:space="preserve">h a commitment to transparency </w:t>
      </w:r>
      <w:r w:rsidR="00FB15DD">
        <w:t>by</w:t>
      </w:r>
      <w:r>
        <w:t xml:space="preserve"> tabling its final report </w:t>
      </w:r>
      <w:r w:rsidR="00535C34">
        <w:t xml:space="preserve">publicly </w:t>
      </w:r>
      <w:r w:rsidR="00A95EEB" w:rsidRPr="004E7294">
        <w:t xml:space="preserve">in </w:t>
      </w:r>
      <w:r w:rsidR="00D61212">
        <w:t xml:space="preserve">the Victorian </w:t>
      </w:r>
      <w:r w:rsidR="00BD150E">
        <w:t xml:space="preserve">Parliament and for </w:t>
      </w:r>
      <w:r w:rsidR="00C46C06">
        <w:t xml:space="preserve">draft themes for recommendations be provided to the public for consultation </w:t>
      </w:r>
      <w:r w:rsidR="00F105E6">
        <w:t>and</w:t>
      </w:r>
      <w:r w:rsidR="00C46C06">
        <w:t xml:space="preserve"> comment before finalisation</w:t>
      </w:r>
      <w:r w:rsidR="00FB15DD">
        <w:t xml:space="preserve">. </w:t>
      </w:r>
      <w:r w:rsidR="00BB522C">
        <w:t>Ideally,</w:t>
      </w:r>
      <w:r w:rsidR="00F105E6">
        <w:t xml:space="preserve"> f</w:t>
      </w:r>
      <w:r w:rsidR="000A1942">
        <w:t xml:space="preserve">inal recommendations </w:t>
      </w:r>
      <w:r w:rsidR="00FB15DD">
        <w:t>should be provided with</w:t>
      </w:r>
      <w:r w:rsidR="00C2463D">
        <w:t xml:space="preserve"> </w:t>
      </w:r>
      <w:r w:rsidR="00A95EEB" w:rsidRPr="004E7294">
        <w:t>clear costings</w:t>
      </w:r>
      <w:r w:rsidR="00C2463D">
        <w:t xml:space="preserve"> and institutional resources</w:t>
      </w:r>
      <w:r w:rsidR="00A95EEB" w:rsidRPr="004E7294">
        <w:t xml:space="preserve"> attached to </w:t>
      </w:r>
      <w:r w:rsidR="000A1942">
        <w:t>them</w:t>
      </w:r>
      <w:r w:rsidR="00F105E6">
        <w:t xml:space="preserve">. </w:t>
      </w:r>
    </w:p>
    <w:p w14:paraId="449BEA59" w14:textId="0282E863" w:rsidR="00BD150E" w:rsidRDefault="00BD150E" w:rsidP="00BD150E">
      <w:pPr>
        <w:jc w:val="both"/>
      </w:pPr>
      <w:r>
        <w:t>Most importantly, as a result of the Royal Commission, we want to see a system that works for the people it is intended to support, that upholds and respects peoples’ human rights and enables their recovery. It should be a place people can get the support they</w:t>
      </w:r>
      <w:r w:rsidR="006F389B">
        <w:t xml:space="preserve"> need in a trauma-informed way, with a commitment to principles of </w:t>
      </w:r>
      <w:r w:rsidR="00441F97">
        <w:t xml:space="preserve">human rights, </w:t>
      </w:r>
      <w:r w:rsidR="006F389B">
        <w:t xml:space="preserve">collaboration and choice, </w:t>
      </w:r>
      <w:r w:rsidR="00267FD0">
        <w:t xml:space="preserve">rather than bio-medical models, </w:t>
      </w:r>
      <w:r w:rsidR="00441F97">
        <w:t xml:space="preserve">which </w:t>
      </w:r>
      <w:r w:rsidR="00267FD0">
        <w:t xml:space="preserve">emphasise compulsory treatment, control and risk. </w:t>
      </w:r>
      <w:r>
        <w:t>It certainly should not be a place where people are afraid to turn to because their right to sexual safety could be harmed.</w:t>
      </w:r>
      <w:r w:rsidR="00350CD2" w:rsidRPr="00350CD2">
        <w:t xml:space="preserve"> </w:t>
      </w:r>
    </w:p>
    <w:p w14:paraId="66FA9E15" w14:textId="535DF275" w:rsidR="00150968" w:rsidRPr="00EE1C9C" w:rsidRDefault="00A95EEB" w:rsidP="00EE1C9C">
      <w:pPr>
        <w:pStyle w:val="Heading3"/>
        <w:rPr>
          <w:rFonts w:asciiTheme="minorHAnsi" w:hAnsiTheme="minorHAnsi"/>
          <w:b/>
          <w:color w:val="7030A0"/>
        </w:rPr>
      </w:pPr>
      <w:bookmarkStart w:id="17" w:name="_Toc535489855"/>
      <w:r w:rsidRPr="00441D3C">
        <w:rPr>
          <w:rFonts w:asciiTheme="minorHAnsi" w:hAnsiTheme="minorHAnsi"/>
          <w:b/>
          <w:color w:val="7030A0"/>
        </w:rPr>
        <w:lastRenderedPageBreak/>
        <w:t>Conclusion</w:t>
      </w:r>
      <w:bookmarkEnd w:id="17"/>
      <w:r w:rsidR="00EE1C9C">
        <w:rPr>
          <w:rFonts w:asciiTheme="minorHAnsi" w:hAnsiTheme="minorHAnsi"/>
          <w:b/>
          <w:color w:val="7030A0"/>
        </w:rPr>
        <w:br/>
      </w:r>
    </w:p>
    <w:p w14:paraId="187E615B" w14:textId="3A50C50D" w:rsidR="00C263C2" w:rsidRPr="00A663F3" w:rsidRDefault="0026440B" w:rsidP="00D86FEA">
      <w:pPr>
        <w:jc w:val="both"/>
      </w:pPr>
      <w:r w:rsidRPr="000117E3">
        <w:t xml:space="preserve">WDV thanks the </w:t>
      </w:r>
      <w:r>
        <w:t>Victorian Government</w:t>
      </w:r>
      <w:r w:rsidRPr="000117E3">
        <w:t xml:space="preserve"> for the opportunity to contribute to this </w:t>
      </w:r>
      <w:r>
        <w:t>consultation</w:t>
      </w:r>
      <w:r w:rsidRPr="000117E3">
        <w:t>, and we would welcome further consultation on any of the matters raised in this submission.</w:t>
      </w:r>
      <w:r w:rsidR="00EC0163" w:rsidRPr="00EC0163">
        <w:t xml:space="preserve"> </w:t>
      </w:r>
      <w:r w:rsidR="00150968">
        <w:t>This Royal Commission is an</w:t>
      </w:r>
      <w:r w:rsidR="00BD150E">
        <w:t xml:space="preserve"> invaluable</w:t>
      </w:r>
      <w:r w:rsidR="00150968">
        <w:t xml:space="preserve"> opportunity to improve the system</w:t>
      </w:r>
      <w:r w:rsidR="00EC0163" w:rsidRPr="00EC0163">
        <w:t xml:space="preserve"> that should protect and p</w:t>
      </w:r>
      <w:r w:rsidR="00BD150E">
        <w:t>romote the rights of Victorians, including women with disabilities, and we welcome further opportunities for consultation.</w:t>
      </w:r>
    </w:p>
    <w:sectPr w:rsidR="00C263C2" w:rsidRPr="00A663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8C910" w14:textId="77777777" w:rsidR="00C263C2" w:rsidRDefault="00C263C2" w:rsidP="00C263C2">
      <w:pPr>
        <w:spacing w:after="0" w:line="240" w:lineRule="auto"/>
      </w:pPr>
      <w:r>
        <w:separator/>
      </w:r>
    </w:p>
  </w:endnote>
  <w:endnote w:type="continuationSeparator" w:id="0">
    <w:p w14:paraId="1602F800" w14:textId="77777777" w:rsidR="00C263C2" w:rsidRDefault="00C263C2" w:rsidP="00C2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D9305" w14:textId="77777777" w:rsidR="00C263C2" w:rsidRDefault="00C263C2" w:rsidP="00C263C2">
      <w:pPr>
        <w:spacing w:after="0" w:line="240" w:lineRule="auto"/>
      </w:pPr>
      <w:r>
        <w:separator/>
      </w:r>
    </w:p>
  </w:footnote>
  <w:footnote w:type="continuationSeparator" w:id="0">
    <w:p w14:paraId="77EB2526" w14:textId="77777777" w:rsidR="00C263C2" w:rsidRDefault="00C263C2" w:rsidP="00C263C2">
      <w:pPr>
        <w:spacing w:after="0" w:line="240" w:lineRule="auto"/>
      </w:pPr>
      <w:r>
        <w:continuationSeparator/>
      </w:r>
    </w:p>
  </w:footnote>
  <w:footnote w:id="1">
    <w:p w14:paraId="6B35652C" w14:textId="77777777" w:rsidR="00C263C2" w:rsidRPr="00105CE6" w:rsidRDefault="00C263C2" w:rsidP="00C110CC">
      <w:pPr>
        <w:jc w:val="both"/>
      </w:pPr>
      <w:r>
        <w:rPr>
          <w:rStyle w:val="FootnoteReference"/>
        </w:rPr>
        <w:footnoteRef/>
      </w:r>
      <w:r>
        <w:t xml:space="preserve"> </w:t>
      </w:r>
      <w:r w:rsidRPr="002859E2">
        <w:rPr>
          <w:sz w:val="20"/>
          <w:szCs w:val="20"/>
        </w:rPr>
        <w:t xml:space="preserve">D. </w:t>
      </w:r>
      <w:proofErr w:type="spellStart"/>
      <w:r w:rsidRPr="002859E2">
        <w:rPr>
          <w:sz w:val="20"/>
          <w:szCs w:val="20"/>
        </w:rPr>
        <w:t>Woodlock</w:t>
      </w:r>
      <w:proofErr w:type="spellEnd"/>
      <w:r w:rsidRPr="002859E2">
        <w:rPr>
          <w:sz w:val="20"/>
          <w:szCs w:val="20"/>
        </w:rPr>
        <w:t xml:space="preserve"> Delanie, L. Healey, K. Howe, M. McGuire, et al. 2014, ‘Voices Against Violence Paper One:  Summary Report and Recommendations.’ Women with Disabilities Victoria, Office of the Public Advocate and Domestic Violence Resource Centre Victoria, 2014. For all seven papers of Voices Against Violence, including an Easy English summary, visit &lt;</w:t>
      </w:r>
      <w:hyperlink r:id="rId1" w:history="1">
        <w:r w:rsidRPr="002859E2">
          <w:rPr>
            <w:rStyle w:val="Hyperlink"/>
            <w:sz w:val="20"/>
            <w:szCs w:val="20"/>
          </w:rPr>
          <w:t>http://www.wdv.org.au/our-work/building-the-knowledge/voices-against-violence/</w:t>
        </w:r>
      </w:hyperlink>
      <w:r w:rsidRPr="002859E2">
        <w:rPr>
          <w:sz w:val="20"/>
          <w:szCs w:val="20"/>
        </w:rPr>
        <w:t>&gt;.</w:t>
      </w:r>
    </w:p>
  </w:footnote>
  <w:footnote w:id="2">
    <w:p w14:paraId="7A774357" w14:textId="77777777" w:rsidR="008D4DCB" w:rsidRDefault="008D4DCB" w:rsidP="008D4DCB">
      <w:pPr>
        <w:pStyle w:val="FootnoteText"/>
      </w:pPr>
      <w:r>
        <w:rPr>
          <w:rStyle w:val="FootnoteReference"/>
        </w:rPr>
        <w:footnoteRef/>
      </w:r>
      <w:r>
        <w:t xml:space="preserve"> Australian Bureau of Statistics, </w:t>
      </w:r>
      <w:hyperlink r:id="rId2" w:history="1">
        <w:r w:rsidRPr="00652F4F">
          <w:rPr>
            <w:rStyle w:val="Hyperlink"/>
          </w:rPr>
          <w:t>3303.0 - Causes of Death</w:t>
        </w:r>
      </w:hyperlink>
      <w:r>
        <w:t>, Australia, 2017.</w:t>
      </w:r>
    </w:p>
  </w:footnote>
  <w:footnote w:id="3">
    <w:p w14:paraId="4C5F5245" w14:textId="72FA269A" w:rsidR="008D4DCB" w:rsidRDefault="008D4DCB" w:rsidP="008D4DCB">
      <w:pPr>
        <w:pStyle w:val="FootnoteText"/>
      </w:pPr>
      <w:r>
        <w:rPr>
          <w:rStyle w:val="FootnoteReference"/>
        </w:rPr>
        <w:footnoteRef/>
      </w:r>
      <w:r>
        <w:t xml:space="preserve"> </w:t>
      </w:r>
      <w:r w:rsidRPr="00077432">
        <w:t>Suici</w:t>
      </w:r>
      <w:r w:rsidR="00B45648">
        <w:t xml:space="preserve">de Prevention Australia, </w:t>
      </w:r>
      <w:r w:rsidR="00611DDD">
        <w:t>(</w:t>
      </w:r>
      <w:r w:rsidR="00B45648">
        <w:t>2016</w:t>
      </w:r>
      <w:r w:rsidR="00611DDD">
        <w:t>)</w:t>
      </w:r>
      <w:r w:rsidR="002859E2">
        <w:t xml:space="preserve">, </w:t>
      </w:r>
      <w:r w:rsidRPr="00077432">
        <w:t>Suicide and Suicidal Behaviour in Women – Iss</w:t>
      </w:r>
      <w:r w:rsidR="002859E2">
        <w:t xml:space="preserve">ues and Prevention: A Discussion Paper, </w:t>
      </w:r>
      <w:r w:rsidR="00611DDD">
        <w:t>(</w:t>
      </w:r>
      <w:r w:rsidR="002859E2">
        <w:t>Sydney</w:t>
      </w:r>
      <w:r w:rsidR="00611DDD">
        <w:t>)</w:t>
      </w:r>
      <w:r w:rsidR="002859E2">
        <w:t>.</w:t>
      </w:r>
    </w:p>
  </w:footnote>
  <w:footnote w:id="4">
    <w:p w14:paraId="7FE41008" w14:textId="3326E5AD" w:rsidR="00143F94" w:rsidRDefault="00143F94">
      <w:pPr>
        <w:pStyle w:val="FootnoteText"/>
      </w:pPr>
      <w:r>
        <w:rPr>
          <w:rStyle w:val="FootnoteReference"/>
        </w:rPr>
        <w:footnoteRef/>
      </w:r>
      <w:r>
        <w:t xml:space="preserve"> </w:t>
      </w:r>
      <w:r w:rsidRPr="00143F94">
        <w:t>Victorian M</w:t>
      </w:r>
      <w:r w:rsidR="00611DDD">
        <w:t>ental Illness Awareness Council (VMIAC),</w:t>
      </w:r>
      <w:r w:rsidRPr="00143F94">
        <w:t xml:space="preserve"> </w:t>
      </w:r>
      <w:r w:rsidR="00611DDD">
        <w:t xml:space="preserve">(2013), </w:t>
      </w:r>
      <w:r w:rsidRPr="00143F94">
        <w:t>Zero Tolerance For Sexual Assa</w:t>
      </w:r>
      <w:r w:rsidR="00611DDD">
        <w:t>ult: A Safe Admission For Women, (VMIAC: Melbourne).</w:t>
      </w:r>
    </w:p>
  </w:footnote>
  <w:footnote w:id="5">
    <w:p w14:paraId="6B48037B" w14:textId="5F61B6D6" w:rsidR="008E6823" w:rsidRDefault="008E6823">
      <w:pPr>
        <w:pStyle w:val="FootnoteText"/>
      </w:pPr>
      <w:r>
        <w:rPr>
          <w:rStyle w:val="FootnoteReference"/>
        </w:rPr>
        <w:footnoteRef/>
      </w:r>
      <w:r>
        <w:t xml:space="preserve"> </w:t>
      </w:r>
      <w:r w:rsidR="00EE1C9C">
        <w:t>Ibid.</w:t>
      </w:r>
      <w:r w:rsidRPr="008E6823">
        <w:t xml:space="preserve">  </w:t>
      </w:r>
    </w:p>
  </w:footnote>
  <w:footnote w:id="6">
    <w:p w14:paraId="5E8C5D4D" w14:textId="3479EBCB" w:rsidR="009516A5" w:rsidRDefault="009516A5">
      <w:pPr>
        <w:pStyle w:val="FootnoteText"/>
      </w:pPr>
      <w:r>
        <w:rPr>
          <w:rStyle w:val="FootnoteReference"/>
        </w:rPr>
        <w:footnoteRef/>
      </w:r>
      <w:r>
        <w:t xml:space="preserve"> See: </w:t>
      </w:r>
      <w:r w:rsidR="00611DDD" w:rsidRPr="00611DDD">
        <w:t xml:space="preserve">Australian Institute of Health and Welfare </w:t>
      </w:r>
      <w:r w:rsidR="00611DDD">
        <w:t>(AIHW), (</w:t>
      </w:r>
      <w:r w:rsidR="00611DDD" w:rsidRPr="00611DDD">
        <w:t>2018</w:t>
      </w:r>
      <w:r w:rsidR="00611DDD">
        <w:t>),</w:t>
      </w:r>
      <w:r w:rsidR="00611DDD" w:rsidRPr="00611DDD">
        <w:t xml:space="preserve"> Mental </w:t>
      </w:r>
      <w:r w:rsidR="00611DDD">
        <w:t>health services—in brief 2018, Cat. no. HSE 211, (Canberra: AIHW).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0220"/>
    <w:multiLevelType w:val="hybridMultilevel"/>
    <w:tmpl w:val="361AE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830B75"/>
    <w:multiLevelType w:val="hybridMultilevel"/>
    <w:tmpl w:val="8060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9D"/>
    <w:rsid w:val="000048EE"/>
    <w:rsid w:val="000110B2"/>
    <w:rsid w:val="00030079"/>
    <w:rsid w:val="000306F1"/>
    <w:rsid w:val="0005549F"/>
    <w:rsid w:val="00056FE6"/>
    <w:rsid w:val="00067C52"/>
    <w:rsid w:val="000715DE"/>
    <w:rsid w:val="0007434D"/>
    <w:rsid w:val="00077432"/>
    <w:rsid w:val="000859CB"/>
    <w:rsid w:val="000968CD"/>
    <w:rsid w:val="000A1942"/>
    <w:rsid w:val="000C308F"/>
    <w:rsid w:val="000C3D2E"/>
    <w:rsid w:val="000F7B86"/>
    <w:rsid w:val="0010462A"/>
    <w:rsid w:val="00122A74"/>
    <w:rsid w:val="00131688"/>
    <w:rsid w:val="0013408C"/>
    <w:rsid w:val="00143F94"/>
    <w:rsid w:val="00150968"/>
    <w:rsid w:val="00163F16"/>
    <w:rsid w:val="00167F0C"/>
    <w:rsid w:val="001770E0"/>
    <w:rsid w:val="00184178"/>
    <w:rsid w:val="001966A2"/>
    <w:rsid w:val="001A4894"/>
    <w:rsid w:val="001E5583"/>
    <w:rsid w:val="001F173B"/>
    <w:rsid w:val="002027AC"/>
    <w:rsid w:val="00214F8E"/>
    <w:rsid w:val="00221949"/>
    <w:rsid w:val="0023355A"/>
    <w:rsid w:val="00235E09"/>
    <w:rsid w:val="00237995"/>
    <w:rsid w:val="002471FD"/>
    <w:rsid w:val="00260695"/>
    <w:rsid w:val="0026440B"/>
    <w:rsid w:val="00267FD0"/>
    <w:rsid w:val="002859E2"/>
    <w:rsid w:val="00290AA4"/>
    <w:rsid w:val="002A4A2F"/>
    <w:rsid w:val="002B23A6"/>
    <w:rsid w:val="002D5951"/>
    <w:rsid w:val="002D5DFC"/>
    <w:rsid w:val="002E1481"/>
    <w:rsid w:val="002F1B21"/>
    <w:rsid w:val="002F51EC"/>
    <w:rsid w:val="00312024"/>
    <w:rsid w:val="0031398C"/>
    <w:rsid w:val="00333B30"/>
    <w:rsid w:val="00340CB2"/>
    <w:rsid w:val="0034611B"/>
    <w:rsid w:val="00350CD2"/>
    <w:rsid w:val="00352E09"/>
    <w:rsid w:val="00372D86"/>
    <w:rsid w:val="0038165B"/>
    <w:rsid w:val="00392128"/>
    <w:rsid w:val="003A64EE"/>
    <w:rsid w:val="003C6A7F"/>
    <w:rsid w:val="003D1E6D"/>
    <w:rsid w:val="003D33BD"/>
    <w:rsid w:val="003F6E38"/>
    <w:rsid w:val="00432BB9"/>
    <w:rsid w:val="00441D3C"/>
    <w:rsid w:val="00441F97"/>
    <w:rsid w:val="004422FA"/>
    <w:rsid w:val="00487EC2"/>
    <w:rsid w:val="0049784E"/>
    <w:rsid w:val="004A3489"/>
    <w:rsid w:val="004A7279"/>
    <w:rsid w:val="004A7384"/>
    <w:rsid w:val="004C1997"/>
    <w:rsid w:val="004C669F"/>
    <w:rsid w:val="004C7D9A"/>
    <w:rsid w:val="004E3233"/>
    <w:rsid w:val="004E7294"/>
    <w:rsid w:val="004F7D8D"/>
    <w:rsid w:val="005202FE"/>
    <w:rsid w:val="00527DE7"/>
    <w:rsid w:val="00533005"/>
    <w:rsid w:val="00535C34"/>
    <w:rsid w:val="00542FBE"/>
    <w:rsid w:val="00550AFA"/>
    <w:rsid w:val="00554A91"/>
    <w:rsid w:val="00562ECE"/>
    <w:rsid w:val="005856AD"/>
    <w:rsid w:val="00585900"/>
    <w:rsid w:val="00595D80"/>
    <w:rsid w:val="005A7150"/>
    <w:rsid w:val="005B797E"/>
    <w:rsid w:val="005D6D56"/>
    <w:rsid w:val="005E6E87"/>
    <w:rsid w:val="00611DDD"/>
    <w:rsid w:val="0061225B"/>
    <w:rsid w:val="006244A4"/>
    <w:rsid w:val="00625C78"/>
    <w:rsid w:val="00630DB2"/>
    <w:rsid w:val="00632150"/>
    <w:rsid w:val="0063302E"/>
    <w:rsid w:val="006356AE"/>
    <w:rsid w:val="00652F4F"/>
    <w:rsid w:val="00682B60"/>
    <w:rsid w:val="00697708"/>
    <w:rsid w:val="006A5E9D"/>
    <w:rsid w:val="006B36B4"/>
    <w:rsid w:val="006E5475"/>
    <w:rsid w:val="006F389B"/>
    <w:rsid w:val="006F3D32"/>
    <w:rsid w:val="006F5722"/>
    <w:rsid w:val="007023B9"/>
    <w:rsid w:val="00703FAE"/>
    <w:rsid w:val="00705789"/>
    <w:rsid w:val="0070770D"/>
    <w:rsid w:val="00710CEA"/>
    <w:rsid w:val="00727651"/>
    <w:rsid w:val="00727DD2"/>
    <w:rsid w:val="00741875"/>
    <w:rsid w:val="00743A42"/>
    <w:rsid w:val="00751B2D"/>
    <w:rsid w:val="00781F7B"/>
    <w:rsid w:val="00787001"/>
    <w:rsid w:val="00795B11"/>
    <w:rsid w:val="007B1661"/>
    <w:rsid w:val="007B703B"/>
    <w:rsid w:val="007C2F9C"/>
    <w:rsid w:val="007E0A2D"/>
    <w:rsid w:val="007E3F5C"/>
    <w:rsid w:val="007E6013"/>
    <w:rsid w:val="007F513E"/>
    <w:rsid w:val="00806BFF"/>
    <w:rsid w:val="00833997"/>
    <w:rsid w:val="00835E12"/>
    <w:rsid w:val="00840444"/>
    <w:rsid w:val="00841B35"/>
    <w:rsid w:val="00864166"/>
    <w:rsid w:val="00885475"/>
    <w:rsid w:val="008B1089"/>
    <w:rsid w:val="008D2F87"/>
    <w:rsid w:val="008D4DCB"/>
    <w:rsid w:val="008E1373"/>
    <w:rsid w:val="008E1FD4"/>
    <w:rsid w:val="008E6588"/>
    <w:rsid w:val="008E6823"/>
    <w:rsid w:val="00933EDC"/>
    <w:rsid w:val="0094072D"/>
    <w:rsid w:val="009416C5"/>
    <w:rsid w:val="009516A5"/>
    <w:rsid w:val="0095564D"/>
    <w:rsid w:val="00971E3D"/>
    <w:rsid w:val="00972FB0"/>
    <w:rsid w:val="009805FD"/>
    <w:rsid w:val="00991878"/>
    <w:rsid w:val="009A66C8"/>
    <w:rsid w:val="009D21FE"/>
    <w:rsid w:val="009E718D"/>
    <w:rsid w:val="00A1061F"/>
    <w:rsid w:val="00A1188A"/>
    <w:rsid w:val="00A12402"/>
    <w:rsid w:val="00A23DA2"/>
    <w:rsid w:val="00A2771B"/>
    <w:rsid w:val="00A53433"/>
    <w:rsid w:val="00A64EBA"/>
    <w:rsid w:val="00A663F3"/>
    <w:rsid w:val="00A71D40"/>
    <w:rsid w:val="00A90D33"/>
    <w:rsid w:val="00A95EEB"/>
    <w:rsid w:val="00AA608D"/>
    <w:rsid w:val="00AB3113"/>
    <w:rsid w:val="00AB3B8C"/>
    <w:rsid w:val="00AD5E1F"/>
    <w:rsid w:val="00AE53DD"/>
    <w:rsid w:val="00AE6EBA"/>
    <w:rsid w:val="00B03CA9"/>
    <w:rsid w:val="00B05792"/>
    <w:rsid w:val="00B05F06"/>
    <w:rsid w:val="00B070E3"/>
    <w:rsid w:val="00B2331B"/>
    <w:rsid w:val="00B45648"/>
    <w:rsid w:val="00B47020"/>
    <w:rsid w:val="00B663D5"/>
    <w:rsid w:val="00B80A2E"/>
    <w:rsid w:val="00B814B2"/>
    <w:rsid w:val="00B83BD9"/>
    <w:rsid w:val="00B97622"/>
    <w:rsid w:val="00BA62E3"/>
    <w:rsid w:val="00BB2B8F"/>
    <w:rsid w:val="00BB522C"/>
    <w:rsid w:val="00BD150E"/>
    <w:rsid w:val="00BE0B3A"/>
    <w:rsid w:val="00C110CC"/>
    <w:rsid w:val="00C12BDC"/>
    <w:rsid w:val="00C2463D"/>
    <w:rsid w:val="00C26014"/>
    <w:rsid w:val="00C263C2"/>
    <w:rsid w:val="00C434C6"/>
    <w:rsid w:val="00C46C06"/>
    <w:rsid w:val="00C47F92"/>
    <w:rsid w:val="00C546C1"/>
    <w:rsid w:val="00C566A5"/>
    <w:rsid w:val="00C7148C"/>
    <w:rsid w:val="00C73210"/>
    <w:rsid w:val="00C7427A"/>
    <w:rsid w:val="00C837D0"/>
    <w:rsid w:val="00C901A0"/>
    <w:rsid w:val="00CB1903"/>
    <w:rsid w:val="00CB2F07"/>
    <w:rsid w:val="00CB6FAF"/>
    <w:rsid w:val="00CE5B94"/>
    <w:rsid w:val="00D00657"/>
    <w:rsid w:val="00D1639D"/>
    <w:rsid w:val="00D23EDF"/>
    <w:rsid w:val="00D4245A"/>
    <w:rsid w:val="00D5401E"/>
    <w:rsid w:val="00D61212"/>
    <w:rsid w:val="00D653AA"/>
    <w:rsid w:val="00D7438E"/>
    <w:rsid w:val="00D86FEA"/>
    <w:rsid w:val="00D8720A"/>
    <w:rsid w:val="00D905E2"/>
    <w:rsid w:val="00D97E67"/>
    <w:rsid w:val="00DA225E"/>
    <w:rsid w:val="00DA3D5A"/>
    <w:rsid w:val="00DA43BC"/>
    <w:rsid w:val="00DD091D"/>
    <w:rsid w:val="00DD19AA"/>
    <w:rsid w:val="00DE0FB3"/>
    <w:rsid w:val="00DE3E68"/>
    <w:rsid w:val="00DF72CA"/>
    <w:rsid w:val="00E0073E"/>
    <w:rsid w:val="00E06A27"/>
    <w:rsid w:val="00E17784"/>
    <w:rsid w:val="00E3146B"/>
    <w:rsid w:val="00E60B6F"/>
    <w:rsid w:val="00E73D1F"/>
    <w:rsid w:val="00E93AB3"/>
    <w:rsid w:val="00EB510A"/>
    <w:rsid w:val="00EB65D3"/>
    <w:rsid w:val="00EC0163"/>
    <w:rsid w:val="00EC3B65"/>
    <w:rsid w:val="00EE1C9C"/>
    <w:rsid w:val="00EF5351"/>
    <w:rsid w:val="00F105E6"/>
    <w:rsid w:val="00F12295"/>
    <w:rsid w:val="00F1548A"/>
    <w:rsid w:val="00F218D1"/>
    <w:rsid w:val="00F3520A"/>
    <w:rsid w:val="00F43F62"/>
    <w:rsid w:val="00F45B71"/>
    <w:rsid w:val="00F57D8E"/>
    <w:rsid w:val="00F827A1"/>
    <w:rsid w:val="00F8462E"/>
    <w:rsid w:val="00F92240"/>
    <w:rsid w:val="00FB15DD"/>
    <w:rsid w:val="00FB1AAA"/>
    <w:rsid w:val="00FB31C2"/>
    <w:rsid w:val="00FC6920"/>
    <w:rsid w:val="00FD1575"/>
    <w:rsid w:val="00FF0B3E"/>
    <w:rsid w:val="00FF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9C09"/>
  <w15:chartTrackingRefBased/>
  <w15:docId w15:val="{E930A197-3110-45E0-9FD0-DD2BB4EF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FE6"/>
  </w:style>
  <w:style w:type="paragraph" w:styleId="Heading1">
    <w:name w:val="heading 1"/>
    <w:basedOn w:val="Normal"/>
    <w:next w:val="Normal"/>
    <w:link w:val="Heading1Char"/>
    <w:uiPriority w:val="9"/>
    <w:qFormat/>
    <w:rsid w:val="00C263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1D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1D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3C2"/>
    <w:rPr>
      <w:color w:val="0000FF"/>
      <w:u w:val="single"/>
    </w:rPr>
  </w:style>
  <w:style w:type="paragraph" w:styleId="Title">
    <w:name w:val="Title"/>
    <w:basedOn w:val="Normal"/>
    <w:next w:val="Normal"/>
    <w:link w:val="TitleChar"/>
    <w:uiPriority w:val="10"/>
    <w:qFormat/>
    <w:rsid w:val="00C263C2"/>
    <w:pPr>
      <w:spacing w:after="0" w:line="240" w:lineRule="auto"/>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C263C2"/>
    <w:rPr>
      <w:rFonts w:asciiTheme="majorHAnsi" w:eastAsiaTheme="majorEastAsia" w:hAnsiTheme="majorHAnsi" w:cstheme="majorBidi"/>
      <w:spacing w:val="-10"/>
      <w:kern w:val="28"/>
      <w:sz w:val="56"/>
      <w:szCs w:val="56"/>
      <w:lang w:val="en-AU"/>
    </w:rPr>
  </w:style>
  <w:style w:type="character" w:styleId="FootnoteReference">
    <w:name w:val="footnote reference"/>
    <w:aliases w:val="NO,Footnotes refss,Footnote number,Footnote"/>
    <w:basedOn w:val="DefaultParagraphFont"/>
    <w:uiPriority w:val="99"/>
    <w:unhideWhenUsed/>
    <w:rsid w:val="00C263C2"/>
    <w:rPr>
      <w:vertAlign w:val="superscript"/>
    </w:rPr>
  </w:style>
  <w:style w:type="character" w:customStyle="1" w:styleId="Heading1Char">
    <w:name w:val="Heading 1 Char"/>
    <w:basedOn w:val="DefaultParagraphFont"/>
    <w:link w:val="Heading1"/>
    <w:uiPriority w:val="9"/>
    <w:rsid w:val="00C263C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263C2"/>
    <w:pPr>
      <w:outlineLvl w:val="9"/>
    </w:pPr>
  </w:style>
  <w:style w:type="paragraph" w:styleId="TOC2">
    <w:name w:val="toc 2"/>
    <w:basedOn w:val="Normal"/>
    <w:next w:val="Normal"/>
    <w:autoRedefine/>
    <w:uiPriority w:val="39"/>
    <w:unhideWhenUsed/>
    <w:rsid w:val="008B1089"/>
    <w:pPr>
      <w:tabs>
        <w:tab w:val="right" w:leader="dot" w:pos="9350"/>
      </w:tabs>
      <w:spacing w:after="100"/>
      <w:ind w:left="220"/>
    </w:pPr>
    <w:rPr>
      <w:noProof/>
      <w:lang w:val="en-AU"/>
    </w:rPr>
  </w:style>
  <w:style w:type="paragraph" w:styleId="FootnoteText">
    <w:name w:val="footnote text"/>
    <w:basedOn w:val="Normal"/>
    <w:link w:val="FootnoteTextChar"/>
    <w:uiPriority w:val="99"/>
    <w:semiHidden/>
    <w:unhideWhenUsed/>
    <w:rsid w:val="00DA43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43BC"/>
    <w:rPr>
      <w:sz w:val="20"/>
      <w:szCs w:val="20"/>
    </w:rPr>
  </w:style>
  <w:style w:type="character" w:customStyle="1" w:styleId="Heading2Char">
    <w:name w:val="Heading 2 Char"/>
    <w:basedOn w:val="DefaultParagraphFont"/>
    <w:link w:val="Heading2"/>
    <w:uiPriority w:val="9"/>
    <w:rsid w:val="00441D3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41D3C"/>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49784E"/>
    <w:pPr>
      <w:spacing w:after="100"/>
    </w:pPr>
  </w:style>
  <w:style w:type="paragraph" w:styleId="TOC3">
    <w:name w:val="toc 3"/>
    <w:basedOn w:val="Normal"/>
    <w:next w:val="Normal"/>
    <w:autoRedefine/>
    <w:uiPriority w:val="39"/>
    <w:unhideWhenUsed/>
    <w:rsid w:val="0049784E"/>
    <w:pPr>
      <w:spacing w:after="100"/>
      <w:ind w:left="440"/>
    </w:pPr>
  </w:style>
  <w:style w:type="paragraph" w:styleId="ListParagraph">
    <w:name w:val="List Paragraph"/>
    <w:basedOn w:val="Normal"/>
    <w:uiPriority w:val="34"/>
    <w:qFormat/>
    <w:rsid w:val="00C2463D"/>
    <w:pPr>
      <w:ind w:left="720"/>
      <w:contextualSpacing/>
    </w:pPr>
  </w:style>
  <w:style w:type="character" w:styleId="CommentReference">
    <w:name w:val="annotation reference"/>
    <w:basedOn w:val="DefaultParagraphFont"/>
    <w:uiPriority w:val="99"/>
    <w:semiHidden/>
    <w:unhideWhenUsed/>
    <w:rsid w:val="00E17784"/>
    <w:rPr>
      <w:sz w:val="16"/>
      <w:szCs w:val="16"/>
    </w:rPr>
  </w:style>
  <w:style w:type="paragraph" w:styleId="CommentText">
    <w:name w:val="annotation text"/>
    <w:basedOn w:val="Normal"/>
    <w:link w:val="CommentTextChar"/>
    <w:uiPriority w:val="99"/>
    <w:semiHidden/>
    <w:unhideWhenUsed/>
    <w:rsid w:val="00E17784"/>
    <w:pPr>
      <w:spacing w:line="240" w:lineRule="auto"/>
    </w:pPr>
    <w:rPr>
      <w:sz w:val="20"/>
      <w:szCs w:val="20"/>
    </w:rPr>
  </w:style>
  <w:style w:type="character" w:customStyle="1" w:styleId="CommentTextChar">
    <w:name w:val="Comment Text Char"/>
    <w:basedOn w:val="DefaultParagraphFont"/>
    <w:link w:val="CommentText"/>
    <w:uiPriority w:val="99"/>
    <w:semiHidden/>
    <w:rsid w:val="00E17784"/>
    <w:rPr>
      <w:sz w:val="20"/>
      <w:szCs w:val="20"/>
    </w:rPr>
  </w:style>
  <w:style w:type="paragraph" w:styleId="CommentSubject">
    <w:name w:val="annotation subject"/>
    <w:basedOn w:val="CommentText"/>
    <w:next w:val="CommentText"/>
    <w:link w:val="CommentSubjectChar"/>
    <w:uiPriority w:val="99"/>
    <w:semiHidden/>
    <w:unhideWhenUsed/>
    <w:rsid w:val="00E17784"/>
    <w:rPr>
      <w:b/>
      <w:bCs/>
    </w:rPr>
  </w:style>
  <w:style w:type="character" w:customStyle="1" w:styleId="CommentSubjectChar">
    <w:name w:val="Comment Subject Char"/>
    <w:basedOn w:val="CommentTextChar"/>
    <w:link w:val="CommentSubject"/>
    <w:uiPriority w:val="99"/>
    <w:semiHidden/>
    <w:rsid w:val="00E17784"/>
    <w:rPr>
      <w:b/>
      <w:bCs/>
      <w:sz w:val="20"/>
      <w:szCs w:val="20"/>
    </w:rPr>
  </w:style>
  <w:style w:type="paragraph" w:styleId="BalloonText">
    <w:name w:val="Balloon Text"/>
    <w:basedOn w:val="Normal"/>
    <w:link w:val="BalloonTextChar"/>
    <w:uiPriority w:val="99"/>
    <w:semiHidden/>
    <w:unhideWhenUsed/>
    <w:rsid w:val="00E17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72898">
      <w:bodyDiv w:val="1"/>
      <w:marLeft w:val="0"/>
      <w:marRight w:val="0"/>
      <w:marTop w:val="0"/>
      <w:marBottom w:val="0"/>
      <w:divBdr>
        <w:top w:val="none" w:sz="0" w:space="0" w:color="auto"/>
        <w:left w:val="none" w:sz="0" w:space="0" w:color="auto"/>
        <w:bottom w:val="none" w:sz="0" w:space="0" w:color="auto"/>
        <w:right w:val="none" w:sz="0" w:space="0" w:color="auto"/>
      </w:divBdr>
    </w:div>
    <w:div w:id="173716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leah.vanpoppel@wdv.org.au" TargetMode="External"/><Relationship Id="rId4" Type="http://schemas.openxmlformats.org/officeDocument/2006/relationships/settings" Target="settings.xml"/><Relationship Id="rId9" Type="http://schemas.openxmlformats.org/officeDocument/2006/relationships/hyperlink" Target="http://www.wdv.org.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bs.gov.au/ausstats/abs@.nsf/Lookup/by%20Subject/3303.0~2017~Main%20Features~Intentional%20self-harm,%20key%20characteristics~3" TargetMode="External"/><Relationship Id="rId1" Type="http://schemas.openxmlformats.org/officeDocument/2006/relationships/hyperlink" Target="http://www.wdv.org.au/our-work/building-the-knowledge/voices-against-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7348D-492F-48DC-8F76-AC97C9C5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Karanikolas</dc:creator>
  <cp:keywords/>
  <dc:description/>
  <cp:lastModifiedBy>Amber Karanikolas</cp:lastModifiedBy>
  <cp:revision>31</cp:revision>
  <dcterms:created xsi:type="dcterms:W3CDTF">2019-01-21T22:09:00Z</dcterms:created>
  <dcterms:modified xsi:type="dcterms:W3CDTF">2019-01-29T00:49:00Z</dcterms:modified>
</cp:coreProperties>
</file>