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8742FD" w:rsidRDefault="00B355F3" w:rsidP="00C627F3">
          <w:pPr>
            <w:jc w:val="right"/>
            <w:rPr>
              <w:caps/>
              <w:color w:val="2E74B5" w:themeColor="accent1" w:themeShade="BF"/>
              <w:sz w:val="64"/>
              <w:szCs w:val="64"/>
            </w:rPr>
          </w:pPr>
          <w:bookmarkStart w:id="3" w:name="_Toc33527981"/>
          <w:r w:rsidRPr="008742FD">
            <w:rPr>
              <w:caps/>
              <w:color w:val="2E74B5" w:themeColor="accent1" w:themeShade="BF"/>
              <w:sz w:val="64"/>
              <w:szCs w:val="64"/>
            </w:rPr>
            <w:t>Women’s Health Services</w:t>
          </w:r>
          <w:bookmarkEnd w:id="3"/>
          <w:r w:rsidRPr="008742FD">
            <w:rPr>
              <w:caps/>
              <w:color w:val="2E74B5" w:themeColor="accent1" w:themeShade="BF"/>
              <w:sz w:val="64"/>
              <w:szCs w:val="64"/>
            </w:rPr>
            <w:t xml:space="preserve"> </w:t>
          </w:r>
        </w:p>
        <w:p w14:paraId="60A839F6" w14:textId="46C76F54" w:rsidR="00B355F3" w:rsidRPr="008742FD" w:rsidRDefault="00B355F3" w:rsidP="00C627F3">
          <w:pPr>
            <w:jc w:val="right"/>
            <w:rPr>
              <w:caps/>
              <w:color w:val="2E74B5" w:themeColor="accent1" w:themeShade="BF"/>
              <w:sz w:val="56"/>
              <w:szCs w:val="56"/>
            </w:rPr>
          </w:pPr>
          <w:bookmarkStart w:id="4" w:name="_Toc33527982"/>
          <w:r w:rsidRPr="008742FD">
            <w:rPr>
              <w:caps/>
              <w:color w:val="2E74B5" w:themeColor="accent1" w:themeShade="BF"/>
              <w:sz w:val="56"/>
              <w:szCs w:val="56"/>
            </w:rPr>
            <w:t>Disability Audit Tool</w:t>
          </w:r>
          <w:bookmarkEnd w:id="4"/>
        </w:p>
        <w:p w14:paraId="18546F8A" w14:textId="77777777" w:rsidR="00CF1CB7" w:rsidRPr="008742FD" w:rsidRDefault="00CF1CB7" w:rsidP="00A720D2">
          <w:pPr>
            <w:rPr>
              <w:color w:val="2E74B5" w:themeColor="accent1" w:themeShade="BF"/>
              <w:sz w:val="32"/>
              <w:szCs w:val="32"/>
            </w:rPr>
          </w:pPr>
        </w:p>
        <w:p w14:paraId="6C06CB85" w14:textId="4097BDAD" w:rsidR="00A720D2" w:rsidRPr="008742FD" w:rsidRDefault="00C627F3" w:rsidP="00A720D2">
          <w:pPr>
            <w:rPr>
              <w:caps/>
              <w:color w:val="2E74B5" w:themeColor="accent1" w:themeShade="BF"/>
              <w:sz w:val="32"/>
              <w:szCs w:val="32"/>
            </w:rPr>
          </w:pPr>
          <w:r w:rsidRPr="008742FD">
            <w:rPr>
              <w:color w:val="2E74B5" w:themeColor="accent1" w:themeShade="BF"/>
              <w:sz w:val="32"/>
              <w:szCs w:val="32"/>
            </w:rPr>
            <w:t>P</w:t>
          </w:r>
          <w:r w:rsidR="001535B9" w:rsidRPr="008742FD">
            <w:rPr>
              <w:color w:val="2E74B5" w:themeColor="accent1" w:themeShade="BF"/>
              <w:sz w:val="32"/>
              <w:szCs w:val="32"/>
            </w:rPr>
            <w:t>remises</w:t>
          </w:r>
        </w:p>
        <w:p w14:paraId="47C2CF88" w14:textId="34889925" w:rsidR="00C627F3" w:rsidRPr="008742FD" w:rsidRDefault="004B5FEE" w:rsidP="00A720D2">
          <w:pPr>
            <w:rPr>
              <w:caps/>
              <w:color w:val="2E74B5" w:themeColor="accent1" w:themeShade="BF"/>
              <w:sz w:val="32"/>
              <w:szCs w:val="32"/>
            </w:rPr>
          </w:pPr>
          <w:r w:rsidRPr="008742FD">
            <w:rPr>
              <w:color w:val="2E74B5" w:themeColor="accent1" w:themeShade="BF"/>
              <w:sz w:val="32"/>
              <w:szCs w:val="32"/>
            </w:rPr>
            <w:t>Lobby</w:t>
          </w:r>
          <w:r w:rsidR="00C627F3" w:rsidRPr="008742FD">
            <w:rPr>
              <w:color w:val="2E74B5" w:themeColor="accent1" w:themeShade="BF"/>
              <w:sz w:val="32"/>
              <w:szCs w:val="32"/>
            </w:rPr>
            <w:t xml:space="preserve"> and </w:t>
          </w:r>
          <w:r w:rsidRPr="008742FD">
            <w:rPr>
              <w:color w:val="2E74B5" w:themeColor="accent1" w:themeShade="BF"/>
              <w:sz w:val="32"/>
              <w:szCs w:val="32"/>
            </w:rPr>
            <w:t>Reception</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0118663D" w14:textId="77777777" w:rsidR="008742FD" w:rsidRPr="004535A6" w:rsidRDefault="008742FD" w:rsidP="008742FD">
      <w:pPr>
        <w:pStyle w:val="Titre1"/>
        <w:spacing w:before="120" w:line="240" w:lineRule="auto"/>
        <w:rPr>
          <w:rFonts w:ascii="Calibri" w:hAnsi="Calibri" w:cs="Calibri"/>
        </w:rPr>
      </w:pPr>
      <w:bookmarkStart w:id="5" w:name="_Toc54772936"/>
      <w:bookmarkStart w:id="6" w:name="_Toc56677056"/>
      <w:r w:rsidRPr="004535A6">
        <w:rPr>
          <w:rFonts w:ascii="Calibri" w:hAnsi="Calibri" w:cs="Calibri"/>
        </w:rPr>
        <w:lastRenderedPageBreak/>
        <w:t>Women’s Health Services Disability Audit Tool</w:t>
      </w:r>
      <w:bookmarkEnd w:id="5"/>
      <w:bookmarkEnd w:id="6"/>
    </w:p>
    <w:p w14:paraId="2016DE26" w14:textId="77777777" w:rsidR="008742FD" w:rsidRPr="005A216F" w:rsidRDefault="008742FD" w:rsidP="008742FD">
      <w:pPr>
        <w:pStyle w:val="Titre2"/>
        <w:spacing w:before="120" w:line="240" w:lineRule="auto"/>
        <w:rPr>
          <w:rFonts w:ascii="Calibri" w:hAnsi="Calibri" w:cs="Calibri"/>
          <w:sz w:val="22"/>
          <w:szCs w:val="22"/>
        </w:rPr>
      </w:pPr>
    </w:p>
    <w:p w14:paraId="28550852" w14:textId="77777777" w:rsidR="008742FD" w:rsidRPr="004535A6" w:rsidRDefault="008742FD" w:rsidP="008742FD">
      <w:pPr>
        <w:pStyle w:val="Titre2"/>
        <w:spacing w:before="120" w:line="240" w:lineRule="auto"/>
        <w:rPr>
          <w:rFonts w:ascii="Calibri" w:hAnsi="Calibri" w:cs="Calibri"/>
        </w:rPr>
      </w:pPr>
      <w:bookmarkStart w:id="7" w:name="_Toc54772937"/>
      <w:bookmarkStart w:id="8" w:name="_Toc56677057"/>
      <w:r w:rsidRPr="004535A6">
        <w:rPr>
          <w:rFonts w:ascii="Calibri" w:hAnsi="Calibri" w:cs="Calibri"/>
        </w:rPr>
        <w:t>Acknowledgements</w:t>
      </w:r>
      <w:bookmarkEnd w:id="7"/>
      <w:bookmarkEnd w:id="8"/>
    </w:p>
    <w:p w14:paraId="612CF8EF"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1556C16E"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3C47579A"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17F88318"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33C9E285" w14:textId="77777777" w:rsidR="008742FD" w:rsidRPr="004535A6" w:rsidRDefault="008742FD" w:rsidP="008742FD">
      <w:pPr>
        <w:tabs>
          <w:tab w:val="left" w:pos="270"/>
        </w:tabs>
        <w:spacing w:before="120" w:after="0" w:line="240" w:lineRule="auto"/>
        <w:ind w:left="270" w:hanging="270"/>
        <w:rPr>
          <w:rFonts w:ascii="Calibri" w:hAnsi="Calibri" w:cs="Calibri"/>
        </w:rPr>
      </w:pPr>
    </w:p>
    <w:p w14:paraId="6303E7FF" w14:textId="77777777" w:rsidR="008742FD" w:rsidRPr="002A61A9" w:rsidRDefault="008742FD" w:rsidP="008742FD">
      <w:pPr>
        <w:pStyle w:val="Titre2"/>
        <w:spacing w:before="120" w:after="120" w:line="240" w:lineRule="auto"/>
        <w:rPr>
          <w:rFonts w:asciiTheme="minorHAnsi" w:hAnsiTheme="minorHAnsi" w:cstheme="minorHAnsi"/>
        </w:rPr>
      </w:pPr>
      <w:bookmarkStart w:id="9" w:name="_Toc33018560"/>
      <w:bookmarkStart w:id="10" w:name="_Toc54772938"/>
      <w:bookmarkStart w:id="11" w:name="_Toc56677058"/>
      <w:r w:rsidRPr="002A61A9">
        <w:rPr>
          <w:rFonts w:asciiTheme="minorHAnsi" w:hAnsiTheme="minorHAnsi" w:cstheme="minorHAnsi"/>
        </w:rPr>
        <w:t>Introduction</w:t>
      </w:r>
      <w:bookmarkEnd w:id="9"/>
      <w:bookmarkEnd w:id="10"/>
      <w:bookmarkEnd w:id="11"/>
    </w:p>
    <w:p w14:paraId="27E8201E" w14:textId="77777777" w:rsidR="008742FD" w:rsidRPr="005A216F" w:rsidRDefault="008742FD" w:rsidP="008742FD">
      <w:pPr>
        <w:spacing w:after="0" w:line="240" w:lineRule="auto"/>
      </w:pPr>
      <w:r w:rsidRPr="005A216F">
        <w:t>Women with Disabilities Victoria (WDV) is the peak body of women with disabilities in Victoria.</w:t>
      </w:r>
    </w:p>
    <w:p w14:paraId="0F24E9C1" w14:textId="77777777" w:rsidR="008742FD" w:rsidRDefault="008742FD" w:rsidP="008742FD">
      <w:pPr>
        <w:spacing w:after="0" w:line="240" w:lineRule="auto"/>
      </w:pPr>
    </w:p>
    <w:p w14:paraId="16285633" w14:textId="77777777" w:rsidR="008742FD" w:rsidRPr="005A216F" w:rsidRDefault="008742FD" w:rsidP="008742FD">
      <w:pPr>
        <w:spacing w:after="0" w:line="240" w:lineRule="auto"/>
      </w:pPr>
      <w:r w:rsidRPr="005A216F">
        <w:t>Women with Disabilities Victoria:</w:t>
      </w:r>
    </w:p>
    <w:p w14:paraId="247FA823"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506216BD"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5E0F2A33"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06D2C2B1"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5E83C3CF"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7FFBCF49"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7A4C23B8" w14:textId="77777777" w:rsidR="008742FD" w:rsidRPr="004535A6" w:rsidRDefault="008742FD" w:rsidP="002A61A9">
      <w:pPr>
        <w:tabs>
          <w:tab w:val="left" w:pos="270"/>
        </w:tabs>
        <w:spacing w:before="120" w:after="0" w:line="240" w:lineRule="auto"/>
        <w:ind w:left="270" w:hanging="270"/>
        <w:rPr>
          <w:rFonts w:ascii="Calibri" w:hAnsi="Calibri" w:cs="Calibri"/>
        </w:rPr>
      </w:pPr>
    </w:p>
    <w:p w14:paraId="560341F4" w14:textId="77777777" w:rsidR="008742FD" w:rsidRPr="004535A6" w:rsidRDefault="008742FD" w:rsidP="008742FD">
      <w:pPr>
        <w:pStyle w:val="Titre2"/>
        <w:spacing w:before="120" w:line="240" w:lineRule="auto"/>
        <w:rPr>
          <w:rFonts w:ascii="Calibri" w:hAnsi="Calibri" w:cs="Calibri"/>
        </w:rPr>
      </w:pPr>
      <w:bookmarkStart w:id="12" w:name="_Toc54772939"/>
      <w:bookmarkStart w:id="13" w:name="_Toc56677059"/>
      <w:r w:rsidRPr="004535A6">
        <w:rPr>
          <w:rFonts w:ascii="Calibri" w:hAnsi="Calibri" w:cs="Calibri"/>
        </w:rPr>
        <w:t>Our Vision, Mission and Values</w:t>
      </w:r>
      <w:bookmarkEnd w:id="12"/>
      <w:bookmarkEnd w:id="13"/>
    </w:p>
    <w:p w14:paraId="4156BFFA" w14:textId="509A3FE7" w:rsidR="008742FD" w:rsidRPr="001C2BDA" w:rsidRDefault="008742FD" w:rsidP="001C2BDA">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380FA1D4" w14:textId="77777777" w:rsidR="008742FD" w:rsidRPr="001C2BDA" w:rsidRDefault="008742FD" w:rsidP="008742FD">
      <w:pPr>
        <w:spacing w:before="120" w:after="0" w:line="240" w:lineRule="auto"/>
        <w:rPr>
          <w:rFonts w:asciiTheme="majorHAnsi" w:hAnsiTheme="majorHAnsi" w:cstheme="majorHAnsi"/>
          <w:color w:val="2E74B5" w:themeColor="accent1" w:themeShade="BF"/>
          <w:sz w:val="24"/>
          <w:szCs w:val="24"/>
        </w:rPr>
      </w:pPr>
      <w:r w:rsidRPr="001C2BDA">
        <w:rPr>
          <w:rFonts w:asciiTheme="majorHAnsi" w:hAnsiTheme="majorHAnsi" w:cstheme="majorHAnsi"/>
          <w:color w:val="2E74B5" w:themeColor="accent1" w:themeShade="BF"/>
          <w:sz w:val="24"/>
          <w:szCs w:val="24"/>
        </w:rPr>
        <w:t>Our Vision</w:t>
      </w:r>
    </w:p>
    <w:p w14:paraId="446CEF96" w14:textId="48926878" w:rsidR="008742FD" w:rsidRPr="001C2BDA" w:rsidRDefault="008742FD" w:rsidP="001C2BDA">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223035A5" w14:textId="77777777" w:rsidR="008742FD" w:rsidRPr="001C2BDA" w:rsidRDefault="008742FD" w:rsidP="008742FD">
      <w:pPr>
        <w:spacing w:before="120" w:after="0" w:line="240" w:lineRule="auto"/>
        <w:rPr>
          <w:rFonts w:asciiTheme="majorHAnsi" w:hAnsiTheme="majorHAnsi" w:cstheme="majorHAnsi"/>
          <w:color w:val="2E74B5" w:themeColor="accent1" w:themeShade="BF"/>
          <w:sz w:val="24"/>
          <w:szCs w:val="24"/>
        </w:rPr>
      </w:pPr>
      <w:r w:rsidRPr="001C2BDA">
        <w:rPr>
          <w:rFonts w:asciiTheme="majorHAnsi" w:hAnsiTheme="majorHAnsi" w:cstheme="majorHAnsi"/>
          <w:color w:val="2E74B5" w:themeColor="accent1" w:themeShade="BF"/>
          <w:sz w:val="24"/>
          <w:szCs w:val="24"/>
        </w:rPr>
        <w:t>Our Mission</w:t>
      </w:r>
    </w:p>
    <w:p w14:paraId="2E86C0DA"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02A130BC"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7CD73EFC"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68984D92" w14:textId="77777777" w:rsidR="008742FD" w:rsidRPr="004535A6"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35E4CCE8" w14:textId="77777777" w:rsidR="008742FD" w:rsidRDefault="008742FD" w:rsidP="008742FD">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6A30F61" w14:textId="33BE9E7C" w:rsidR="00D923DF" w:rsidRDefault="00D923DF" w:rsidP="00764E56">
      <w:pPr>
        <w:tabs>
          <w:tab w:val="left" w:pos="270"/>
        </w:tabs>
        <w:spacing w:before="120" w:after="0" w:line="240" w:lineRule="auto"/>
        <w:ind w:left="270" w:hanging="270"/>
        <w:rPr>
          <w:rFonts w:ascii="Calibri" w:hAnsi="Calibri" w:cs="Calibri"/>
        </w:rPr>
      </w:pPr>
    </w:p>
    <w:p w14:paraId="32D2BB30" w14:textId="77777777" w:rsidR="001C2BDA" w:rsidRPr="004535A6" w:rsidRDefault="001C2BDA"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2C180FA4" w14:textId="0D342230" w:rsidR="008742FD"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6677056" w:history="1">
            <w:r w:rsidR="008742FD" w:rsidRPr="009B2D38">
              <w:rPr>
                <w:rStyle w:val="Lienhypertexte"/>
                <w:rFonts w:ascii="Calibri" w:hAnsi="Calibri" w:cs="Calibri"/>
                <w:noProof/>
              </w:rPr>
              <w:t>Women’s Health Services Disability Audit Tool</w:t>
            </w:r>
            <w:r w:rsidR="008742FD">
              <w:rPr>
                <w:noProof/>
                <w:webHidden/>
              </w:rPr>
              <w:tab/>
            </w:r>
            <w:r w:rsidR="008742FD">
              <w:rPr>
                <w:noProof/>
                <w:webHidden/>
              </w:rPr>
              <w:fldChar w:fldCharType="begin"/>
            </w:r>
            <w:r w:rsidR="008742FD">
              <w:rPr>
                <w:noProof/>
                <w:webHidden/>
              </w:rPr>
              <w:instrText xml:space="preserve"> PAGEREF _Toc56677056 \h </w:instrText>
            </w:r>
            <w:r w:rsidR="008742FD">
              <w:rPr>
                <w:noProof/>
                <w:webHidden/>
              </w:rPr>
            </w:r>
            <w:r w:rsidR="008742FD">
              <w:rPr>
                <w:noProof/>
                <w:webHidden/>
              </w:rPr>
              <w:fldChar w:fldCharType="separate"/>
            </w:r>
            <w:r w:rsidR="008742FD">
              <w:rPr>
                <w:noProof/>
                <w:webHidden/>
              </w:rPr>
              <w:t>2</w:t>
            </w:r>
            <w:r w:rsidR="008742FD">
              <w:rPr>
                <w:noProof/>
                <w:webHidden/>
              </w:rPr>
              <w:fldChar w:fldCharType="end"/>
            </w:r>
          </w:hyperlink>
        </w:p>
        <w:p w14:paraId="321CDCAC" w14:textId="5FA8A133" w:rsidR="008742FD" w:rsidRDefault="0034169E" w:rsidP="008742FD">
          <w:pPr>
            <w:pStyle w:val="TM2"/>
            <w:tabs>
              <w:tab w:val="right" w:leader="dot" w:pos="9736"/>
            </w:tabs>
            <w:ind w:left="0"/>
            <w:rPr>
              <w:rFonts w:eastAsiaTheme="minorEastAsia"/>
              <w:noProof/>
              <w:sz w:val="24"/>
              <w:szCs w:val="24"/>
              <w:lang w:val="fr-FR" w:eastAsia="fr-FR"/>
            </w:rPr>
          </w:pPr>
          <w:hyperlink w:anchor="_Toc56677057" w:history="1">
            <w:r w:rsidR="008742FD" w:rsidRPr="009B2D38">
              <w:rPr>
                <w:rStyle w:val="Lienhypertexte"/>
                <w:rFonts w:ascii="Calibri" w:hAnsi="Calibri" w:cs="Calibri"/>
                <w:noProof/>
              </w:rPr>
              <w:t>Acknowledgements</w:t>
            </w:r>
            <w:r w:rsidR="008742FD">
              <w:rPr>
                <w:noProof/>
                <w:webHidden/>
              </w:rPr>
              <w:tab/>
            </w:r>
            <w:r w:rsidR="008742FD">
              <w:rPr>
                <w:noProof/>
                <w:webHidden/>
              </w:rPr>
              <w:fldChar w:fldCharType="begin"/>
            </w:r>
            <w:r w:rsidR="008742FD">
              <w:rPr>
                <w:noProof/>
                <w:webHidden/>
              </w:rPr>
              <w:instrText xml:space="preserve"> PAGEREF _Toc56677057 \h </w:instrText>
            </w:r>
            <w:r w:rsidR="008742FD">
              <w:rPr>
                <w:noProof/>
                <w:webHidden/>
              </w:rPr>
            </w:r>
            <w:r w:rsidR="008742FD">
              <w:rPr>
                <w:noProof/>
                <w:webHidden/>
              </w:rPr>
              <w:fldChar w:fldCharType="separate"/>
            </w:r>
            <w:r w:rsidR="008742FD">
              <w:rPr>
                <w:noProof/>
                <w:webHidden/>
              </w:rPr>
              <w:t>2</w:t>
            </w:r>
            <w:r w:rsidR="008742FD">
              <w:rPr>
                <w:noProof/>
                <w:webHidden/>
              </w:rPr>
              <w:fldChar w:fldCharType="end"/>
            </w:r>
          </w:hyperlink>
        </w:p>
        <w:p w14:paraId="184A8103" w14:textId="2BD86662" w:rsidR="008742FD" w:rsidRDefault="0034169E" w:rsidP="008742FD">
          <w:pPr>
            <w:pStyle w:val="TM2"/>
            <w:tabs>
              <w:tab w:val="right" w:leader="dot" w:pos="9736"/>
            </w:tabs>
            <w:ind w:left="0"/>
            <w:rPr>
              <w:rFonts w:eastAsiaTheme="minorEastAsia"/>
              <w:noProof/>
              <w:sz w:val="24"/>
              <w:szCs w:val="24"/>
              <w:lang w:val="fr-FR" w:eastAsia="fr-FR"/>
            </w:rPr>
          </w:pPr>
          <w:hyperlink w:anchor="_Toc56677058" w:history="1">
            <w:r w:rsidR="008742FD" w:rsidRPr="009B2D38">
              <w:rPr>
                <w:rStyle w:val="Lienhypertexte"/>
                <w:noProof/>
              </w:rPr>
              <w:t>Introduction</w:t>
            </w:r>
            <w:r w:rsidR="008742FD">
              <w:rPr>
                <w:noProof/>
                <w:webHidden/>
              </w:rPr>
              <w:tab/>
            </w:r>
            <w:r w:rsidR="008742FD">
              <w:rPr>
                <w:noProof/>
                <w:webHidden/>
              </w:rPr>
              <w:fldChar w:fldCharType="begin"/>
            </w:r>
            <w:r w:rsidR="008742FD">
              <w:rPr>
                <w:noProof/>
                <w:webHidden/>
              </w:rPr>
              <w:instrText xml:space="preserve"> PAGEREF _Toc56677058 \h </w:instrText>
            </w:r>
            <w:r w:rsidR="008742FD">
              <w:rPr>
                <w:noProof/>
                <w:webHidden/>
              </w:rPr>
            </w:r>
            <w:r w:rsidR="008742FD">
              <w:rPr>
                <w:noProof/>
                <w:webHidden/>
              </w:rPr>
              <w:fldChar w:fldCharType="separate"/>
            </w:r>
            <w:r w:rsidR="008742FD">
              <w:rPr>
                <w:noProof/>
                <w:webHidden/>
              </w:rPr>
              <w:t>2</w:t>
            </w:r>
            <w:r w:rsidR="008742FD">
              <w:rPr>
                <w:noProof/>
                <w:webHidden/>
              </w:rPr>
              <w:fldChar w:fldCharType="end"/>
            </w:r>
          </w:hyperlink>
        </w:p>
        <w:p w14:paraId="7D441159" w14:textId="3678EA15" w:rsidR="008742FD" w:rsidRDefault="0034169E" w:rsidP="008742FD">
          <w:pPr>
            <w:pStyle w:val="TM2"/>
            <w:tabs>
              <w:tab w:val="right" w:leader="dot" w:pos="9736"/>
            </w:tabs>
            <w:ind w:left="0"/>
            <w:rPr>
              <w:rFonts w:eastAsiaTheme="minorEastAsia"/>
              <w:noProof/>
              <w:sz w:val="24"/>
              <w:szCs w:val="24"/>
              <w:lang w:val="fr-FR" w:eastAsia="fr-FR"/>
            </w:rPr>
          </w:pPr>
          <w:hyperlink w:anchor="_Toc56677059" w:history="1">
            <w:r w:rsidR="008742FD" w:rsidRPr="009B2D38">
              <w:rPr>
                <w:rStyle w:val="Lienhypertexte"/>
                <w:rFonts w:ascii="Calibri" w:hAnsi="Calibri" w:cs="Calibri"/>
                <w:noProof/>
              </w:rPr>
              <w:t>Our Vision, Mission and Values</w:t>
            </w:r>
            <w:r w:rsidR="008742FD">
              <w:rPr>
                <w:noProof/>
                <w:webHidden/>
              </w:rPr>
              <w:tab/>
            </w:r>
            <w:r w:rsidR="008742FD">
              <w:rPr>
                <w:noProof/>
                <w:webHidden/>
              </w:rPr>
              <w:fldChar w:fldCharType="begin"/>
            </w:r>
            <w:r w:rsidR="008742FD">
              <w:rPr>
                <w:noProof/>
                <w:webHidden/>
              </w:rPr>
              <w:instrText xml:space="preserve"> PAGEREF _Toc56677059 \h </w:instrText>
            </w:r>
            <w:r w:rsidR="008742FD">
              <w:rPr>
                <w:noProof/>
                <w:webHidden/>
              </w:rPr>
            </w:r>
            <w:r w:rsidR="008742FD">
              <w:rPr>
                <w:noProof/>
                <w:webHidden/>
              </w:rPr>
              <w:fldChar w:fldCharType="separate"/>
            </w:r>
            <w:r w:rsidR="008742FD">
              <w:rPr>
                <w:noProof/>
                <w:webHidden/>
              </w:rPr>
              <w:t>2</w:t>
            </w:r>
            <w:r w:rsidR="008742FD">
              <w:rPr>
                <w:noProof/>
                <w:webHidden/>
              </w:rPr>
              <w:fldChar w:fldCharType="end"/>
            </w:r>
          </w:hyperlink>
        </w:p>
        <w:p w14:paraId="375A8B8D" w14:textId="26E66940" w:rsidR="008742FD" w:rsidRDefault="0034169E" w:rsidP="008742FD">
          <w:pPr>
            <w:pStyle w:val="TM2"/>
            <w:tabs>
              <w:tab w:val="right" w:leader="dot" w:pos="9736"/>
            </w:tabs>
            <w:ind w:left="0"/>
            <w:rPr>
              <w:rFonts w:eastAsiaTheme="minorEastAsia"/>
              <w:noProof/>
              <w:sz w:val="24"/>
              <w:szCs w:val="24"/>
              <w:lang w:val="fr-FR" w:eastAsia="fr-FR"/>
            </w:rPr>
          </w:pPr>
          <w:hyperlink w:anchor="_Toc56677060" w:history="1">
            <w:r w:rsidR="008742FD" w:rsidRPr="009B2D38">
              <w:rPr>
                <w:rStyle w:val="Lienhypertexte"/>
                <w:rFonts w:ascii="Calibri" w:hAnsi="Calibri" w:cs="Calibri"/>
                <w:noProof/>
              </w:rPr>
              <w:t>Women with Disabilities Victoria’s Prevention of Violence Capacity Building Project</w:t>
            </w:r>
            <w:r w:rsidR="008742FD">
              <w:rPr>
                <w:noProof/>
                <w:webHidden/>
              </w:rPr>
              <w:tab/>
            </w:r>
            <w:r w:rsidR="008742FD">
              <w:rPr>
                <w:noProof/>
                <w:webHidden/>
              </w:rPr>
              <w:fldChar w:fldCharType="begin"/>
            </w:r>
            <w:r w:rsidR="008742FD">
              <w:rPr>
                <w:noProof/>
                <w:webHidden/>
              </w:rPr>
              <w:instrText xml:space="preserve"> PAGEREF _Toc56677060 \h </w:instrText>
            </w:r>
            <w:r w:rsidR="008742FD">
              <w:rPr>
                <w:noProof/>
                <w:webHidden/>
              </w:rPr>
            </w:r>
            <w:r w:rsidR="008742FD">
              <w:rPr>
                <w:noProof/>
                <w:webHidden/>
              </w:rPr>
              <w:fldChar w:fldCharType="separate"/>
            </w:r>
            <w:r w:rsidR="008742FD">
              <w:rPr>
                <w:noProof/>
                <w:webHidden/>
              </w:rPr>
              <w:t>4</w:t>
            </w:r>
            <w:r w:rsidR="008742FD">
              <w:rPr>
                <w:noProof/>
                <w:webHidden/>
              </w:rPr>
              <w:fldChar w:fldCharType="end"/>
            </w:r>
          </w:hyperlink>
        </w:p>
        <w:p w14:paraId="27A882C1" w14:textId="2C0EE2E4" w:rsidR="008742FD" w:rsidRDefault="0034169E" w:rsidP="008742FD">
          <w:pPr>
            <w:pStyle w:val="TM2"/>
            <w:tabs>
              <w:tab w:val="right" w:leader="dot" w:pos="9736"/>
            </w:tabs>
            <w:ind w:left="0"/>
            <w:rPr>
              <w:rFonts w:eastAsiaTheme="minorEastAsia"/>
              <w:noProof/>
              <w:sz w:val="24"/>
              <w:szCs w:val="24"/>
              <w:lang w:val="fr-FR" w:eastAsia="fr-FR"/>
            </w:rPr>
          </w:pPr>
          <w:hyperlink w:anchor="_Toc56677061" w:history="1">
            <w:r w:rsidR="008742FD" w:rsidRPr="009B2D38">
              <w:rPr>
                <w:rStyle w:val="Lienhypertexte"/>
                <w:rFonts w:ascii="Calibri" w:hAnsi="Calibri" w:cs="Calibri"/>
                <w:noProof/>
              </w:rPr>
              <w:t>Context</w:t>
            </w:r>
            <w:r w:rsidR="008742FD">
              <w:rPr>
                <w:noProof/>
                <w:webHidden/>
              </w:rPr>
              <w:tab/>
            </w:r>
            <w:r w:rsidR="008742FD">
              <w:rPr>
                <w:noProof/>
                <w:webHidden/>
              </w:rPr>
              <w:fldChar w:fldCharType="begin"/>
            </w:r>
            <w:r w:rsidR="008742FD">
              <w:rPr>
                <w:noProof/>
                <w:webHidden/>
              </w:rPr>
              <w:instrText xml:space="preserve"> PAGEREF _Toc56677061 \h </w:instrText>
            </w:r>
            <w:r w:rsidR="008742FD">
              <w:rPr>
                <w:noProof/>
                <w:webHidden/>
              </w:rPr>
            </w:r>
            <w:r w:rsidR="008742FD">
              <w:rPr>
                <w:noProof/>
                <w:webHidden/>
              </w:rPr>
              <w:fldChar w:fldCharType="separate"/>
            </w:r>
            <w:r w:rsidR="008742FD">
              <w:rPr>
                <w:noProof/>
                <w:webHidden/>
              </w:rPr>
              <w:t>4</w:t>
            </w:r>
            <w:r w:rsidR="008742FD">
              <w:rPr>
                <w:noProof/>
                <w:webHidden/>
              </w:rPr>
              <w:fldChar w:fldCharType="end"/>
            </w:r>
          </w:hyperlink>
        </w:p>
        <w:p w14:paraId="06ACFA7D" w14:textId="5D1151AD" w:rsidR="008742FD" w:rsidRDefault="0034169E" w:rsidP="008742FD">
          <w:pPr>
            <w:pStyle w:val="TM2"/>
            <w:tabs>
              <w:tab w:val="right" w:leader="dot" w:pos="9736"/>
            </w:tabs>
            <w:ind w:left="0"/>
            <w:rPr>
              <w:rFonts w:eastAsiaTheme="minorEastAsia"/>
              <w:noProof/>
              <w:sz w:val="24"/>
              <w:szCs w:val="24"/>
              <w:lang w:val="fr-FR" w:eastAsia="fr-FR"/>
            </w:rPr>
          </w:pPr>
          <w:hyperlink w:anchor="_Toc56677062" w:history="1">
            <w:r w:rsidR="008742FD" w:rsidRPr="009B2D38">
              <w:rPr>
                <w:rStyle w:val="Lienhypertexte"/>
                <w:rFonts w:ascii="Calibri" w:hAnsi="Calibri" w:cs="Calibri"/>
                <w:noProof/>
              </w:rPr>
              <w:t>Key Facts About Disability and Gender</w:t>
            </w:r>
            <w:r w:rsidR="008742FD">
              <w:rPr>
                <w:noProof/>
                <w:webHidden/>
              </w:rPr>
              <w:tab/>
            </w:r>
            <w:r w:rsidR="008742FD">
              <w:rPr>
                <w:noProof/>
                <w:webHidden/>
              </w:rPr>
              <w:fldChar w:fldCharType="begin"/>
            </w:r>
            <w:r w:rsidR="008742FD">
              <w:rPr>
                <w:noProof/>
                <w:webHidden/>
              </w:rPr>
              <w:instrText xml:space="preserve"> PAGEREF _Toc56677062 \h </w:instrText>
            </w:r>
            <w:r w:rsidR="008742FD">
              <w:rPr>
                <w:noProof/>
                <w:webHidden/>
              </w:rPr>
            </w:r>
            <w:r w:rsidR="008742FD">
              <w:rPr>
                <w:noProof/>
                <w:webHidden/>
              </w:rPr>
              <w:fldChar w:fldCharType="separate"/>
            </w:r>
            <w:r w:rsidR="008742FD">
              <w:rPr>
                <w:noProof/>
                <w:webHidden/>
              </w:rPr>
              <w:t>5</w:t>
            </w:r>
            <w:r w:rsidR="008742FD">
              <w:rPr>
                <w:noProof/>
                <w:webHidden/>
              </w:rPr>
              <w:fldChar w:fldCharType="end"/>
            </w:r>
          </w:hyperlink>
        </w:p>
        <w:p w14:paraId="35122EC1" w14:textId="445C5E7F" w:rsidR="008742FD" w:rsidRDefault="0034169E" w:rsidP="008742FD">
          <w:pPr>
            <w:pStyle w:val="TM2"/>
            <w:tabs>
              <w:tab w:val="right" w:leader="dot" w:pos="9736"/>
            </w:tabs>
            <w:ind w:left="0"/>
            <w:rPr>
              <w:rFonts w:eastAsiaTheme="minorEastAsia"/>
              <w:noProof/>
              <w:sz w:val="24"/>
              <w:szCs w:val="24"/>
              <w:lang w:val="fr-FR" w:eastAsia="fr-FR"/>
            </w:rPr>
          </w:pPr>
          <w:hyperlink w:anchor="_Toc56677063" w:history="1">
            <w:r w:rsidR="008742FD" w:rsidRPr="009B2D38">
              <w:rPr>
                <w:rStyle w:val="Lienhypertexte"/>
                <w:rFonts w:ascii="Calibri" w:hAnsi="Calibri" w:cs="Calibri"/>
                <w:noProof/>
              </w:rPr>
              <w:t>Who Are Women with Disabilities?</w:t>
            </w:r>
            <w:r w:rsidR="008742FD">
              <w:rPr>
                <w:noProof/>
                <w:webHidden/>
              </w:rPr>
              <w:tab/>
            </w:r>
            <w:r w:rsidR="008742FD">
              <w:rPr>
                <w:noProof/>
                <w:webHidden/>
              </w:rPr>
              <w:fldChar w:fldCharType="begin"/>
            </w:r>
            <w:r w:rsidR="008742FD">
              <w:rPr>
                <w:noProof/>
                <w:webHidden/>
              </w:rPr>
              <w:instrText xml:space="preserve"> PAGEREF _Toc56677063 \h </w:instrText>
            </w:r>
            <w:r w:rsidR="008742FD">
              <w:rPr>
                <w:noProof/>
                <w:webHidden/>
              </w:rPr>
            </w:r>
            <w:r w:rsidR="008742FD">
              <w:rPr>
                <w:noProof/>
                <w:webHidden/>
              </w:rPr>
              <w:fldChar w:fldCharType="separate"/>
            </w:r>
            <w:r w:rsidR="008742FD">
              <w:rPr>
                <w:noProof/>
                <w:webHidden/>
              </w:rPr>
              <w:t>5</w:t>
            </w:r>
            <w:r w:rsidR="008742FD">
              <w:rPr>
                <w:noProof/>
                <w:webHidden/>
              </w:rPr>
              <w:fldChar w:fldCharType="end"/>
            </w:r>
          </w:hyperlink>
        </w:p>
        <w:p w14:paraId="15987570" w14:textId="2DDBE0B5" w:rsidR="008742FD" w:rsidRDefault="0034169E" w:rsidP="008742FD">
          <w:pPr>
            <w:pStyle w:val="TM2"/>
            <w:tabs>
              <w:tab w:val="right" w:leader="dot" w:pos="9736"/>
            </w:tabs>
            <w:ind w:left="0"/>
            <w:rPr>
              <w:rFonts w:eastAsiaTheme="minorEastAsia"/>
              <w:noProof/>
              <w:sz w:val="24"/>
              <w:szCs w:val="24"/>
              <w:lang w:val="fr-FR" w:eastAsia="fr-FR"/>
            </w:rPr>
          </w:pPr>
          <w:hyperlink w:anchor="_Toc56677064" w:history="1">
            <w:r w:rsidR="008742FD" w:rsidRPr="009B2D38">
              <w:rPr>
                <w:rStyle w:val="Lienhypertexte"/>
                <w:rFonts w:ascii="Calibri" w:hAnsi="Calibri" w:cs="Calibri"/>
                <w:noProof/>
              </w:rPr>
              <w:t>What Barriers Do We Face?</w:t>
            </w:r>
            <w:r w:rsidR="008742FD">
              <w:rPr>
                <w:noProof/>
                <w:webHidden/>
              </w:rPr>
              <w:tab/>
            </w:r>
            <w:r w:rsidR="008742FD">
              <w:rPr>
                <w:noProof/>
                <w:webHidden/>
              </w:rPr>
              <w:fldChar w:fldCharType="begin"/>
            </w:r>
            <w:r w:rsidR="008742FD">
              <w:rPr>
                <w:noProof/>
                <w:webHidden/>
              </w:rPr>
              <w:instrText xml:space="preserve"> PAGEREF _Toc56677064 \h </w:instrText>
            </w:r>
            <w:r w:rsidR="008742FD">
              <w:rPr>
                <w:noProof/>
                <w:webHidden/>
              </w:rPr>
            </w:r>
            <w:r w:rsidR="008742FD">
              <w:rPr>
                <w:noProof/>
                <w:webHidden/>
              </w:rPr>
              <w:fldChar w:fldCharType="separate"/>
            </w:r>
            <w:r w:rsidR="008742FD">
              <w:rPr>
                <w:noProof/>
                <w:webHidden/>
              </w:rPr>
              <w:t>5</w:t>
            </w:r>
            <w:r w:rsidR="008742FD">
              <w:rPr>
                <w:noProof/>
                <w:webHidden/>
              </w:rPr>
              <w:fldChar w:fldCharType="end"/>
            </w:r>
          </w:hyperlink>
        </w:p>
        <w:p w14:paraId="14DDFC91" w14:textId="0545FC85" w:rsidR="008742FD" w:rsidRDefault="0034169E" w:rsidP="008742FD">
          <w:pPr>
            <w:pStyle w:val="TM2"/>
            <w:tabs>
              <w:tab w:val="right" w:leader="dot" w:pos="9736"/>
            </w:tabs>
            <w:ind w:left="0"/>
            <w:rPr>
              <w:rFonts w:eastAsiaTheme="minorEastAsia"/>
              <w:noProof/>
              <w:sz w:val="24"/>
              <w:szCs w:val="24"/>
              <w:lang w:val="fr-FR" w:eastAsia="fr-FR"/>
            </w:rPr>
          </w:pPr>
          <w:hyperlink w:anchor="_Toc56677065" w:history="1">
            <w:r w:rsidR="008742FD" w:rsidRPr="009B2D38">
              <w:rPr>
                <w:rStyle w:val="Lienhypertexte"/>
                <w:rFonts w:ascii="Calibri" w:hAnsi="Calibri" w:cs="Calibri"/>
                <w:noProof/>
              </w:rPr>
              <w:t>Key Facts About Disability and Violence Against Women</w:t>
            </w:r>
            <w:r w:rsidR="008742FD">
              <w:rPr>
                <w:noProof/>
                <w:webHidden/>
              </w:rPr>
              <w:tab/>
            </w:r>
            <w:r w:rsidR="008742FD">
              <w:rPr>
                <w:noProof/>
                <w:webHidden/>
              </w:rPr>
              <w:fldChar w:fldCharType="begin"/>
            </w:r>
            <w:r w:rsidR="008742FD">
              <w:rPr>
                <w:noProof/>
                <w:webHidden/>
              </w:rPr>
              <w:instrText xml:space="preserve"> PAGEREF _Toc56677065 \h </w:instrText>
            </w:r>
            <w:r w:rsidR="008742FD">
              <w:rPr>
                <w:noProof/>
                <w:webHidden/>
              </w:rPr>
            </w:r>
            <w:r w:rsidR="008742FD">
              <w:rPr>
                <w:noProof/>
                <w:webHidden/>
              </w:rPr>
              <w:fldChar w:fldCharType="separate"/>
            </w:r>
            <w:r w:rsidR="008742FD">
              <w:rPr>
                <w:noProof/>
                <w:webHidden/>
              </w:rPr>
              <w:t>5</w:t>
            </w:r>
            <w:r w:rsidR="008742FD">
              <w:rPr>
                <w:noProof/>
                <w:webHidden/>
              </w:rPr>
              <w:fldChar w:fldCharType="end"/>
            </w:r>
          </w:hyperlink>
        </w:p>
        <w:p w14:paraId="232F06F7" w14:textId="620562FC" w:rsidR="008742FD" w:rsidRDefault="0034169E" w:rsidP="008742FD">
          <w:pPr>
            <w:pStyle w:val="TM2"/>
            <w:tabs>
              <w:tab w:val="right" w:leader="dot" w:pos="9736"/>
            </w:tabs>
            <w:ind w:left="0"/>
            <w:rPr>
              <w:rFonts w:eastAsiaTheme="minorEastAsia"/>
              <w:noProof/>
              <w:sz w:val="24"/>
              <w:szCs w:val="24"/>
              <w:lang w:val="fr-FR" w:eastAsia="fr-FR"/>
            </w:rPr>
          </w:pPr>
          <w:hyperlink w:anchor="_Toc56677066" w:history="1">
            <w:r w:rsidR="008742FD" w:rsidRPr="009B2D38">
              <w:rPr>
                <w:rStyle w:val="Lienhypertexte"/>
                <w:rFonts w:ascii="Calibri" w:hAnsi="Calibri" w:cs="Calibri"/>
                <w:noProof/>
              </w:rPr>
              <w:t>The Women’s Health Services Disability Audit Tool</w:t>
            </w:r>
            <w:r w:rsidR="008742FD">
              <w:rPr>
                <w:noProof/>
                <w:webHidden/>
              </w:rPr>
              <w:tab/>
            </w:r>
            <w:r w:rsidR="008742FD">
              <w:rPr>
                <w:noProof/>
                <w:webHidden/>
              </w:rPr>
              <w:fldChar w:fldCharType="begin"/>
            </w:r>
            <w:r w:rsidR="008742FD">
              <w:rPr>
                <w:noProof/>
                <w:webHidden/>
              </w:rPr>
              <w:instrText xml:space="preserve"> PAGEREF _Toc56677066 \h </w:instrText>
            </w:r>
            <w:r w:rsidR="008742FD">
              <w:rPr>
                <w:noProof/>
                <w:webHidden/>
              </w:rPr>
            </w:r>
            <w:r w:rsidR="008742FD">
              <w:rPr>
                <w:noProof/>
                <w:webHidden/>
              </w:rPr>
              <w:fldChar w:fldCharType="separate"/>
            </w:r>
            <w:r w:rsidR="008742FD">
              <w:rPr>
                <w:noProof/>
                <w:webHidden/>
              </w:rPr>
              <w:t>6</w:t>
            </w:r>
            <w:r w:rsidR="008742FD">
              <w:rPr>
                <w:noProof/>
                <w:webHidden/>
              </w:rPr>
              <w:fldChar w:fldCharType="end"/>
            </w:r>
          </w:hyperlink>
        </w:p>
        <w:p w14:paraId="5E2B05B9" w14:textId="4943F292" w:rsidR="008742FD" w:rsidRDefault="0034169E" w:rsidP="008742FD">
          <w:pPr>
            <w:pStyle w:val="TM3"/>
            <w:tabs>
              <w:tab w:val="right" w:leader="dot" w:pos="9736"/>
            </w:tabs>
            <w:ind w:left="0"/>
            <w:rPr>
              <w:rFonts w:eastAsiaTheme="minorEastAsia"/>
              <w:noProof/>
              <w:sz w:val="24"/>
              <w:szCs w:val="24"/>
              <w:lang w:val="fr-FR" w:eastAsia="fr-FR"/>
            </w:rPr>
          </w:pPr>
          <w:hyperlink w:anchor="_Toc56677067" w:history="1">
            <w:r w:rsidR="008742FD" w:rsidRPr="009B2D38">
              <w:rPr>
                <w:rStyle w:val="Lienhypertexte"/>
                <w:rFonts w:ascii="Calibri" w:hAnsi="Calibri" w:cs="Calibri"/>
                <w:noProof/>
              </w:rPr>
              <w:t>Guiding Principles</w:t>
            </w:r>
            <w:r w:rsidR="008742FD">
              <w:rPr>
                <w:noProof/>
                <w:webHidden/>
              </w:rPr>
              <w:tab/>
            </w:r>
            <w:r w:rsidR="008742FD">
              <w:rPr>
                <w:noProof/>
                <w:webHidden/>
              </w:rPr>
              <w:fldChar w:fldCharType="begin"/>
            </w:r>
            <w:r w:rsidR="008742FD">
              <w:rPr>
                <w:noProof/>
                <w:webHidden/>
              </w:rPr>
              <w:instrText xml:space="preserve"> PAGEREF _Toc56677067 \h </w:instrText>
            </w:r>
            <w:r w:rsidR="008742FD">
              <w:rPr>
                <w:noProof/>
                <w:webHidden/>
              </w:rPr>
            </w:r>
            <w:r w:rsidR="008742FD">
              <w:rPr>
                <w:noProof/>
                <w:webHidden/>
              </w:rPr>
              <w:fldChar w:fldCharType="separate"/>
            </w:r>
            <w:r w:rsidR="008742FD">
              <w:rPr>
                <w:noProof/>
                <w:webHidden/>
              </w:rPr>
              <w:t>6</w:t>
            </w:r>
            <w:r w:rsidR="008742FD">
              <w:rPr>
                <w:noProof/>
                <w:webHidden/>
              </w:rPr>
              <w:fldChar w:fldCharType="end"/>
            </w:r>
          </w:hyperlink>
        </w:p>
        <w:p w14:paraId="33877BCD" w14:textId="6EB42143" w:rsidR="008742FD" w:rsidRDefault="0034169E" w:rsidP="008742FD">
          <w:pPr>
            <w:pStyle w:val="TM3"/>
            <w:tabs>
              <w:tab w:val="right" w:leader="dot" w:pos="9736"/>
            </w:tabs>
            <w:ind w:left="0"/>
            <w:rPr>
              <w:rFonts w:eastAsiaTheme="minorEastAsia"/>
              <w:noProof/>
              <w:sz w:val="24"/>
              <w:szCs w:val="24"/>
              <w:lang w:val="fr-FR" w:eastAsia="fr-FR"/>
            </w:rPr>
          </w:pPr>
          <w:hyperlink w:anchor="_Toc56677068" w:history="1">
            <w:r w:rsidR="008742FD" w:rsidRPr="009B2D38">
              <w:rPr>
                <w:rStyle w:val="Lienhypertexte"/>
                <w:rFonts w:ascii="Calibri" w:hAnsi="Calibri" w:cs="Calibri"/>
                <w:noProof/>
              </w:rPr>
              <w:t>Audit Scope</w:t>
            </w:r>
            <w:r w:rsidR="008742FD">
              <w:rPr>
                <w:noProof/>
                <w:webHidden/>
              </w:rPr>
              <w:tab/>
            </w:r>
            <w:r w:rsidR="008742FD">
              <w:rPr>
                <w:noProof/>
                <w:webHidden/>
              </w:rPr>
              <w:fldChar w:fldCharType="begin"/>
            </w:r>
            <w:r w:rsidR="008742FD">
              <w:rPr>
                <w:noProof/>
                <w:webHidden/>
              </w:rPr>
              <w:instrText xml:space="preserve"> PAGEREF _Toc56677068 \h </w:instrText>
            </w:r>
            <w:r w:rsidR="008742FD">
              <w:rPr>
                <w:noProof/>
                <w:webHidden/>
              </w:rPr>
            </w:r>
            <w:r w:rsidR="008742FD">
              <w:rPr>
                <w:noProof/>
                <w:webHidden/>
              </w:rPr>
              <w:fldChar w:fldCharType="separate"/>
            </w:r>
            <w:r w:rsidR="008742FD">
              <w:rPr>
                <w:noProof/>
                <w:webHidden/>
              </w:rPr>
              <w:t>7</w:t>
            </w:r>
            <w:r w:rsidR="008742FD">
              <w:rPr>
                <w:noProof/>
                <w:webHidden/>
              </w:rPr>
              <w:fldChar w:fldCharType="end"/>
            </w:r>
          </w:hyperlink>
        </w:p>
        <w:p w14:paraId="6FA52908" w14:textId="3D827583" w:rsidR="008742FD" w:rsidRDefault="0034169E" w:rsidP="008742FD">
          <w:pPr>
            <w:pStyle w:val="TM3"/>
            <w:tabs>
              <w:tab w:val="right" w:leader="dot" w:pos="9736"/>
            </w:tabs>
            <w:ind w:left="0"/>
            <w:rPr>
              <w:rFonts w:eastAsiaTheme="minorEastAsia"/>
              <w:noProof/>
              <w:sz w:val="24"/>
              <w:szCs w:val="24"/>
              <w:lang w:val="fr-FR" w:eastAsia="fr-FR"/>
            </w:rPr>
          </w:pPr>
          <w:hyperlink w:anchor="_Toc56677069" w:history="1">
            <w:r w:rsidR="008742FD" w:rsidRPr="009B2D38">
              <w:rPr>
                <w:rStyle w:val="Lienhypertexte"/>
                <w:rFonts w:ascii="Calibri" w:hAnsi="Calibri" w:cs="Calibri"/>
                <w:noProof/>
              </w:rPr>
              <w:t>Data Collection and Presentation</w:t>
            </w:r>
            <w:r w:rsidR="008742FD">
              <w:rPr>
                <w:noProof/>
                <w:webHidden/>
              </w:rPr>
              <w:tab/>
            </w:r>
            <w:r w:rsidR="008742FD">
              <w:rPr>
                <w:noProof/>
                <w:webHidden/>
              </w:rPr>
              <w:fldChar w:fldCharType="begin"/>
            </w:r>
            <w:r w:rsidR="008742FD">
              <w:rPr>
                <w:noProof/>
                <w:webHidden/>
              </w:rPr>
              <w:instrText xml:space="preserve"> PAGEREF _Toc56677069 \h </w:instrText>
            </w:r>
            <w:r w:rsidR="008742FD">
              <w:rPr>
                <w:noProof/>
                <w:webHidden/>
              </w:rPr>
            </w:r>
            <w:r w:rsidR="008742FD">
              <w:rPr>
                <w:noProof/>
                <w:webHidden/>
              </w:rPr>
              <w:fldChar w:fldCharType="separate"/>
            </w:r>
            <w:r w:rsidR="008742FD">
              <w:rPr>
                <w:noProof/>
                <w:webHidden/>
              </w:rPr>
              <w:t>8</w:t>
            </w:r>
            <w:r w:rsidR="008742FD">
              <w:rPr>
                <w:noProof/>
                <w:webHidden/>
              </w:rPr>
              <w:fldChar w:fldCharType="end"/>
            </w:r>
          </w:hyperlink>
        </w:p>
        <w:p w14:paraId="2E2415A3" w14:textId="2C7803FB" w:rsidR="008742FD" w:rsidRDefault="0034169E" w:rsidP="008742FD">
          <w:pPr>
            <w:pStyle w:val="TM3"/>
            <w:tabs>
              <w:tab w:val="right" w:leader="dot" w:pos="9736"/>
            </w:tabs>
            <w:ind w:left="0"/>
            <w:rPr>
              <w:rFonts w:eastAsiaTheme="minorEastAsia"/>
              <w:noProof/>
              <w:sz w:val="24"/>
              <w:szCs w:val="24"/>
              <w:lang w:val="fr-FR" w:eastAsia="fr-FR"/>
            </w:rPr>
          </w:pPr>
          <w:hyperlink w:anchor="_Toc56677070" w:history="1">
            <w:r w:rsidR="008742FD" w:rsidRPr="009B2D38">
              <w:rPr>
                <w:rStyle w:val="Lienhypertexte"/>
                <w:rFonts w:ascii="Calibri" w:hAnsi="Calibri" w:cs="Calibri"/>
                <w:noProof/>
              </w:rPr>
              <w:t>Audit Instructions</w:t>
            </w:r>
            <w:r w:rsidR="008742FD">
              <w:rPr>
                <w:noProof/>
                <w:webHidden/>
              </w:rPr>
              <w:tab/>
            </w:r>
            <w:r w:rsidR="008742FD">
              <w:rPr>
                <w:noProof/>
                <w:webHidden/>
              </w:rPr>
              <w:fldChar w:fldCharType="begin"/>
            </w:r>
            <w:r w:rsidR="008742FD">
              <w:rPr>
                <w:noProof/>
                <w:webHidden/>
              </w:rPr>
              <w:instrText xml:space="preserve"> PAGEREF _Toc56677070 \h </w:instrText>
            </w:r>
            <w:r w:rsidR="008742FD">
              <w:rPr>
                <w:noProof/>
                <w:webHidden/>
              </w:rPr>
            </w:r>
            <w:r w:rsidR="008742FD">
              <w:rPr>
                <w:noProof/>
                <w:webHidden/>
              </w:rPr>
              <w:fldChar w:fldCharType="separate"/>
            </w:r>
            <w:r w:rsidR="008742FD">
              <w:rPr>
                <w:noProof/>
                <w:webHidden/>
              </w:rPr>
              <w:t>8</w:t>
            </w:r>
            <w:r w:rsidR="008742FD">
              <w:rPr>
                <w:noProof/>
                <w:webHidden/>
              </w:rPr>
              <w:fldChar w:fldCharType="end"/>
            </w:r>
          </w:hyperlink>
        </w:p>
        <w:p w14:paraId="395EE043" w14:textId="2B7E184A" w:rsidR="008742FD" w:rsidRDefault="0034169E" w:rsidP="008742FD">
          <w:pPr>
            <w:pStyle w:val="TM2"/>
            <w:tabs>
              <w:tab w:val="right" w:leader="dot" w:pos="9736"/>
            </w:tabs>
            <w:ind w:left="0"/>
            <w:rPr>
              <w:rFonts w:eastAsiaTheme="minorEastAsia"/>
              <w:noProof/>
              <w:sz w:val="24"/>
              <w:szCs w:val="24"/>
              <w:lang w:val="fr-FR" w:eastAsia="fr-FR"/>
            </w:rPr>
          </w:pPr>
          <w:hyperlink w:anchor="_Toc56677071" w:history="1">
            <w:r w:rsidR="008742FD" w:rsidRPr="009B2D38">
              <w:rPr>
                <w:rStyle w:val="Lienhypertexte"/>
                <w:rFonts w:cstheme="majorHAnsi"/>
                <w:noProof/>
              </w:rPr>
              <w:t>Prevention of Violence Against Women Disability Audit</w:t>
            </w:r>
            <w:r w:rsidR="008742FD">
              <w:rPr>
                <w:noProof/>
                <w:webHidden/>
              </w:rPr>
              <w:tab/>
            </w:r>
            <w:r w:rsidR="008742FD">
              <w:rPr>
                <w:noProof/>
                <w:webHidden/>
              </w:rPr>
              <w:fldChar w:fldCharType="begin"/>
            </w:r>
            <w:r w:rsidR="008742FD">
              <w:rPr>
                <w:noProof/>
                <w:webHidden/>
              </w:rPr>
              <w:instrText xml:space="preserve"> PAGEREF _Toc56677071 \h </w:instrText>
            </w:r>
            <w:r w:rsidR="008742FD">
              <w:rPr>
                <w:noProof/>
                <w:webHidden/>
              </w:rPr>
            </w:r>
            <w:r w:rsidR="008742FD">
              <w:rPr>
                <w:noProof/>
                <w:webHidden/>
              </w:rPr>
              <w:fldChar w:fldCharType="separate"/>
            </w:r>
            <w:r w:rsidR="008742FD">
              <w:rPr>
                <w:noProof/>
                <w:webHidden/>
              </w:rPr>
              <w:t>9</w:t>
            </w:r>
            <w:r w:rsidR="008742FD">
              <w:rPr>
                <w:noProof/>
                <w:webHidden/>
              </w:rPr>
              <w:fldChar w:fldCharType="end"/>
            </w:r>
          </w:hyperlink>
        </w:p>
        <w:p w14:paraId="07CE4036" w14:textId="052AC587" w:rsidR="008742FD" w:rsidRDefault="0034169E" w:rsidP="008742FD">
          <w:pPr>
            <w:pStyle w:val="TM3"/>
            <w:tabs>
              <w:tab w:val="right" w:leader="dot" w:pos="9736"/>
            </w:tabs>
            <w:ind w:left="0"/>
            <w:rPr>
              <w:rFonts w:eastAsiaTheme="minorEastAsia"/>
              <w:noProof/>
              <w:sz w:val="24"/>
              <w:szCs w:val="24"/>
              <w:lang w:val="fr-FR" w:eastAsia="fr-FR"/>
            </w:rPr>
          </w:pPr>
          <w:hyperlink w:anchor="_Toc56677072" w:history="1">
            <w:r w:rsidR="008742FD" w:rsidRPr="009B2D38">
              <w:rPr>
                <w:rStyle w:val="Lienhypertexte"/>
                <w:noProof/>
              </w:rPr>
              <w:t>Premises</w:t>
            </w:r>
            <w:r w:rsidR="008742FD">
              <w:rPr>
                <w:noProof/>
                <w:webHidden/>
              </w:rPr>
              <w:tab/>
            </w:r>
            <w:r w:rsidR="008742FD">
              <w:rPr>
                <w:noProof/>
                <w:webHidden/>
              </w:rPr>
              <w:fldChar w:fldCharType="begin"/>
            </w:r>
            <w:r w:rsidR="008742FD">
              <w:rPr>
                <w:noProof/>
                <w:webHidden/>
              </w:rPr>
              <w:instrText xml:space="preserve"> PAGEREF _Toc56677072 \h </w:instrText>
            </w:r>
            <w:r w:rsidR="008742FD">
              <w:rPr>
                <w:noProof/>
                <w:webHidden/>
              </w:rPr>
            </w:r>
            <w:r w:rsidR="008742FD">
              <w:rPr>
                <w:noProof/>
                <w:webHidden/>
              </w:rPr>
              <w:fldChar w:fldCharType="separate"/>
            </w:r>
            <w:r w:rsidR="008742FD">
              <w:rPr>
                <w:noProof/>
                <w:webHidden/>
              </w:rPr>
              <w:t>9</w:t>
            </w:r>
            <w:r w:rsidR="008742FD">
              <w:rPr>
                <w:noProof/>
                <w:webHidden/>
              </w:rPr>
              <w:fldChar w:fldCharType="end"/>
            </w:r>
          </w:hyperlink>
        </w:p>
        <w:p w14:paraId="0E82113E" w14:textId="5FAF6BF6" w:rsidR="008742FD" w:rsidRDefault="0034169E" w:rsidP="008742FD">
          <w:pPr>
            <w:pStyle w:val="TM3"/>
            <w:tabs>
              <w:tab w:val="right" w:leader="dot" w:pos="9736"/>
            </w:tabs>
            <w:ind w:left="0"/>
            <w:rPr>
              <w:rFonts w:eastAsiaTheme="minorEastAsia"/>
              <w:noProof/>
              <w:sz w:val="24"/>
              <w:szCs w:val="24"/>
              <w:lang w:val="fr-FR" w:eastAsia="fr-FR"/>
            </w:rPr>
          </w:pPr>
          <w:hyperlink w:anchor="_Toc56677073" w:history="1">
            <w:r w:rsidR="008742FD" w:rsidRPr="009B2D38">
              <w:rPr>
                <w:rStyle w:val="Lienhypertexte"/>
                <w:noProof/>
              </w:rPr>
              <w:t>Lobby and Reception</w:t>
            </w:r>
            <w:r w:rsidR="008742FD">
              <w:rPr>
                <w:noProof/>
                <w:webHidden/>
              </w:rPr>
              <w:tab/>
            </w:r>
            <w:r w:rsidR="008742FD">
              <w:rPr>
                <w:noProof/>
                <w:webHidden/>
              </w:rPr>
              <w:fldChar w:fldCharType="begin"/>
            </w:r>
            <w:r w:rsidR="008742FD">
              <w:rPr>
                <w:noProof/>
                <w:webHidden/>
              </w:rPr>
              <w:instrText xml:space="preserve"> PAGEREF _Toc56677073 \h </w:instrText>
            </w:r>
            <w:r w:rsidR="008742FD">
              <w:rPr>
                <w:noProof/>
                <w:webHidden/>
              </w:rPr>
            </w:r>
            <w:r w:rsidR="008742FD">
              <w:rPr>
                <w:noProof/>
                <w:webHidden/>
              </w:rPr>
              <w:fldChar w:fldCharType="separate"/>
            </w:r>
            <w:r w:rsidR="008742FD">
              <w:rPr>
                <w:noProof/>
                <w:webHidden/>
              </w:rPr>
              <w:t>9</w:t>
            </w:r>
            <w:r w:rsidR="008742FD">
              <w:rPr>
                <w:noProof/>
                <w:webHidden/>
              </w:rPr>
              <w:fldChar w:fldCharType="end"/>
            </w:r>
          </w:hyperlink>
        </w:p>
        <w:p w14:paraId="2EDC1ECA" w14:textId="568A47D8" w:rsidR="008742FD" w:rsidRDefault="0034169E" w:rsidP="008742FD">
          <w:pPr>
            <w:pStyle w:val="TM3"/>
            <w:tabs>
              <w:tab w:val="right" w:leader="dot" w:pos="9736"/>
            </w:tabs>
            <w:ind w:left="0"/>
            <w:rPr>
              <w:rFonts w:eastAsiaTheme="minorEastAsia"/>
              <w:noProof/>
              <w:sz w:val="24"/>
              <w:szCs w:val="24"/>
              <w:lang w:val="fr-FR" w:eastAsia="fr-FR"/>
            </w:rPr>
          </w:pPr>
          <w:hyperlink w:anchor="_Toc56677074" w:history="1">
            <w:r w:rsidR="008742FD" w:rsidRPr="009B2D38">
              <w:rPr>
                <w:rStyle w:val="Lienhypertexte"/>
                <w:rFonts w:cstheme="majorHAnsi"/>
                <w:noProof/>
              </w:rPr>
              <w:t>Questions</w:t>
            </w:r>
            <w:r w:rsidR="008742FD">
              <w:rPr>
                <w:noProof/>
                <w:webHidden/>
              </w:rPr>
              <w:tab/>
            </w:r>
            <w:r w:rsidR="008742FD">
              <w:rPr>
                <w:noProof/>
                <w:webHidden/>
              </w:rPr>
              <w:fldChar w:fldCharType="begin"/>
            </w:r>
            <w:r w:rsidR="008742FD">
              <w:rPr>
                <w:noProof/>
                <w:webHidden/>
              </w:rPr>
              <w:instrText xml:space="preserve"> PAGEREF _Toc56677074 \h </w:instrText>
            </w:r>
            <w:r w:rsidR="008742FD">
              <w:rPr>
                <w:noProof/>
                <w:webHidden/>
              </w:rPr>
            </w:r>
            <w:r w:rsidR="008742FD">
              <w:rPr>
                <w:noProof/>
                <w:webHidden/>
              </w:rPr>
              <w:fldChar w:fldCharType="separate"/>
            </w:r>
            <w:r w:rsidR="008742FD">
              <w:rPr>
                <w:noProof/>
                <w:webHidden/>
              </w:rPr>
              <w:t>9</w:t>
            </w:r>
            <w:r w:rsidR="008742FD">
              <w:rPr>
                <w:noProof/>
                <w:webHidden/>
              </w:rPr>
              <w:fldChar w:fldCharType="end"/>
            </w:r>
          </w:hyperlink>
        </w:p>
        <w:p w14:paraId="4D95E5C0" w14:textId="3F1A4A8F" w:rsidR="008742FD" w:rsidRDefault="0034169E" w:rsidP="008742FD">
          <w:pPr>
            <w:pStyle w:val="TM3"/>
            <w:tabs>
              <w:tab w:val="right" w:leader="dot" w:pos="9736"/>
            </w:tabs>
            <w:ind w:left="0"/>
            <w:rPr>
              <w:rFonts w:eastAsiaTheme="minorEastAsia"/>
              <w:noProof/>
              <w:sz w:val="24"/>
              <w:szCs w:val="24"/>
              <w:lang w:val="fr-FR" w:eastAsia="fr-FR"/>
            </w:rPr>
          </w:pPr>
          <w:hyperlink w:anchor="_Toc56677075" w:history="1">
            <w:r w:rsidR="008742FD" w:rsidRPr="009B2D38">
              <w:rPr>
                <w:rStyle w:val="Lienhypertexte"/>
                <w:rFonts w:cstheme="majorHAnsi"/>
                <w:noProof/>
              </w:rPr>
              <w:t>Summary</w:t>
            </w:r>
            <w:r w:rsidR="008742FD">
              <w:rPr>
                <w:noProof/>
                <w:webHidden/>
              </w:rPr>
              <w:tab/>
            </w:r>
            <w:r w:rsidR="008742FD">
              <w:rPr>
                <w:noProof/>
                <w:webHidden/>
              </w:rPr>
              <w:fldChar w:fldCharType="begin"/>
            </w:r>
            <w:r w:rsidR="008742FD">
              <w:rPr>
                <w:noProof/>
                <w:webHidden/>
              </w:rPr>
              <w:instrText xml:space="preserve"> PAGEREF _Toc56677075 \h </w:instrText>
            </w:r>
            <w:r w:rsidR="008742FD">
              <w:rPr>
                <w:noProof/>
                <w:webHidden/>
              </w:rPr>
            </w:r>
            <w:r w:rsidR="008742FD">
              <w:rPr>
                <w:noProof/>
                <w:webHidden/>
              </w:rPr>
              <w:fldChar w:fldCharType="separate"/>
            </w:r>
            <w:r w:rsidR="008742FD">
              <w:rPr>
                <w:noProof/>
                <w:webHidden/>
              </w:rPr>
              <w:t>12</w:t>
            </w:r>
            <w:r w:rsidR="008742FD">
              <w:rPr>
                <w:noProof/>
                <w:webHidden/>
              </w:rPr>
              <w:fldChar w:fldCharType="end"/>
            </w:r>
          </w:hyperlink>
        </w:p>
        <w:p w14:paraId="0A9BE3B3" w14:textId="3E519D63" w:rsidR="008742FD" w:rsidRDefault="0034169E" w:rsidP="008742FD">
          <w:pPr>
            <w:pStyle w:val="TM3"/>
            <w:tabs>
              <w:tab w:val="right" w:leader="dot" w:pos="9736"/>
            </w:tabs>
            <w:ind w:left="0"/>
            <w:rPr>
              <w:rFonts w:eastAsiaTheme="minorEastAsia"/>
              <w:noProof/>
              <w:sz w:val="24"/>
              <w:szCs w:val="24"/>
              <w:lang w:val="fr-FR" w:eastAsia="fr-FR"/>
            </w:rPr>
          </w:pPr>
          <w:hyperlink w:anchor="_Toc56677076" w:history="1">
            <w:r w:rsidR="008742FD" w:rsidRPr="009B2D38">
              <w:rPr>
                <w:rStyle w:val="Lienhypertexte"/>
                <w:noProof/>
              </w:rPr>
              <w:t>Key Learning</w:t>
            </w:r>
            <w:r w:rsidR="008742FD">
              <w:rPr>
                <w:noProof/>
                <w:webHidden/>
              </w:rPr>
              <w:tab/>
            </w:r>
            <w:r w:rsidR="008742FD">
              <w:rPr>
                <w:noProof/>
                <w:webHidden/>
              </w:rPr>
              <w:fldChar w:fldCharType="begin"/>
            </w:r>
            <w:r w:rsidR="008742FD">
              <w:rPr>
                <w:noProof/>
                <w:webHidden/>
              </w:rPr>
              <w:instrText xml:space="preserve"> PAGEREF _Toc56677076 \h </w:instrText>
            </w:r>
            <w:r w:rsidR="008742FD">
              <w:rPr>
                <w:noProof/>
                <w:webHidden/>
              </w:rPr>
            </w:r>
            <w:r w:rsidR="008742FD">
              <w:rPr>
                <w:noProof/>
                <w:webHidden/>
              </w:rPr>
              <w:fldChar w:fldCharType="separate"/>
            </w:r>
            <w:r w:rsidR="008742FD">
              <w:rPr>
                <w:noProof/>
                <w:webHidden/>
              </w:rPr>
              <w:t>12</w:t>
            </w:r>
            <w:r w:rsidR="008742FD">
              <w:rPr>
                <w:noProof/>
                <w:webHidden/>
              </w:rPr>
              <w:fldChar w:fldCharType="end"/>
            </w:r>
          </w:hyperlink>
        </w:p>
        <w:p w14:paraId="197B018D" w14:textId="2C4F0965" w:rsidR="008742FD" w:rsidRDefault="0034169E" w:rsidP="008742FD">
          <w:pPr>
            <w:pStyle w:val="TM2"/>
            <w:tabs>
              <w:tab w:val="right" w:leader="dot" w:pos="9736"/>
            </w:tabs>
            <w:ind w:left="0"/>
            <w:rPr>
              <w:rFonts w:eastAsiaTheme="minorEastAsia"/>
              <w:noProof/>
              <w:sz w:val="24"/>
              <w:szCs w:val="24"/>
              <w:lang w:val="fr-FR" w:eastAsia="fr-FR"/>
            </w:rPr>
          </w:pPr>
          <w:hyperlink w:anchor="_Toc56677077" w:history="1">
            <w:r w:rsidR="008742FD" w:rsidRPr="009B2D38">
              <w:rPr>
                <w:rStyle w:val="Lienhypertexte"/>
                <w:rFonts w:ascii="Calibri" w:hAnsi="Calibri" w:cs="Calibri"/>
                <w:noProof/>
              </w:rPr>
              <w:t>References</w:t>
            </w:r>
            <w:r w:rsidR="008742FD">
              <w:rPr>
                <w:noProof/>
                <w:webHidden/>
              </w:rPr>
              <w:tab/>
            </w:r>
            <w:r w:rsidR="008742FD">
              <w:rPr>
                <w:noProof/>
                <w:webHidden/>
              </w:rPr>
              <w:fldChar w:fldCharType="begin"/>
            </w:r>
            <w:r w:rsidR="008742FD">
              <w:rPr>
                <w:noProof/>
                <w:webHidden/>
              </w:rPr>
              <w:instrText xml:space="preserve"> PAGEREF _Toc56677077 \h </w:instrText>
            </w:r>
            <w:r w:rsidR="008742FD">
              <w:rPr>
                <w:noProof/>
                <w:webHidden/>
              </w:rPr>
            </w:r>
            <w:r w:rsidR="008742FD">
              <w:rPr>
                <w:noProof/>
                <w:webHidden/>
              </w:rPr>
              <w:fldChar w:fldCharType="separate"/>
            </w:r>
            <w:r w:rsidR="008742FD">
              <w:rPr>
                <w:noProof/>
                <w:webHidden/>
              </w:rPr>
              <w:t>13</w:t>
            </w:r>
            <w:r w:rsidR="008742FD">
              <w:rPr>
                <w:noProof/>
                <w:webHidden/>
              </w:rPr>
              <w:fldChar w:fldCharType="end"/>
            </w:r>
          </w:hyperlink>
        </w:p>
        <w:p w14:paraId="3B3BEC5D" w14:textId="1EF7488E"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52BA7D25" w14:textId="77777777" w:rsidR="008742FD" w:rsidRPr="004535A6" w:rsidRDefault="008742FD" w:rsidP="008742FD">
      <w:pPr>
        <w:pStyle w:val="Titre2"/>
        <w:spacing w:before="120" w:line="240" w:lineRule="auto"/>
        <w:rPr>
          <w:rFonts w:ascii="Calibri" w:hAnsi="Calibri" w:cs="Calibri"/>
        </w:rPr>
      </w:pPr>
      <w:bookmarkStart w:id="14" w:name="_Toc54772940"/>
      <w:bookmarkStart w:id="15" w:name="_Toc56677060"/>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4"/>
      <w:bookmarkEnd w:id="15"/>
    </w:p>
    <w:p w14:paraId="575FD10D" w14:textId="77777777" w:rsidR="008742FD" w:rsidRPr="001C2BDA" w:rsidRDefault="008742FD" w:rsidP="008742FD">
      <w:pPr>
        <w:pStyle w:val="Titre2"/>
        <w:spacing w:before="120" w:line="240" w:lineRule="auto"/>
        <w:rPr>
          <w:rFonts w:cstheme="majorHAnsi"/>
          <w:sz w:val="24"/>
          <w:szCs w:val="24"/>
        </w:rPr>
      </w:pPr>
      <w:bookmarkStart w:id="16" w:name="_Toc33018562"/>
      <w:bookmarkStart w:id="17" w:name="_Toc54772941"/>
      <w:bookmarkStart w:id="18" w:name="_Toc56677061"/>
      <w:r w:rsidRPr="001C2BDA">
        <w:rPr>
          <w:rFonts w:cstheme="majorHAnsi"/>
          <w:sz w:val="24"/>
          <w:szCs w:val="24"/>
        </w:rPr>
        <w:t>Context</w:t>
      </w:r>
      <w:bookmarkEnd w:id="16"/>
      <w:bookmarkEnd w:id="17"/>
      <w:bookmarkEnd w:id="18"/>
    </w:p>
    <w:p w14:paraId="11E3CD0C"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state wide and other relevant sector partners (for state wide WHS), to further strengthen their current work in preventing family violence and all forms of violence against women. </w:t>
      </w:r>
    </w:p>
    <w:p w14:paraId="6B3DF95B"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43941A82"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23C9D035" w14:textId="77777777" w:rsidR="008742FD" w:rsidRPr="004535A6" w:rsidRDefault="008742FD" w:rsidP="008742FD">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10455913" w14:textId="77777777" w:rsidR="008742FD" w:rsidRPr="004535A6" w:rsidRDefault="008742FD" w:rsidP="008742FD">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4F76DCE2" w14:textId="77777777" w:rsidR="008742FD" w:rsidRPr="004535A6" w:rsidRDefault="008742FD" w:rsidP="008742FD">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1E049FAC"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76E08A6F" w14:textId="77777777" w:rsidR="008742FD" w:rsidRPr="004535A6" w:rsidRDefault="008742FD" w:rsidP="008742FD">
      <w:pPr>
        <w:pStyle w:val="Titre2"/>
        <w:spacing w:before="120" w:line="240" w:lineRule="auto"/>
        <w:rPr>
          <w:rFonts w:ascii="Calibri" w:hAnsi="Calibri" w:cs="Calibri"/>
        </w:rPr>
      </w:pPr>
      <w:bookmarkStart w:id="19" w:name="_Toc54772942"/>
      <w:bookmarkStart w:id="20" w:name="_Toc56677062"/>
      <w:r w:rsidRPr="004535A6">
        <w:rPr>
          <w:rFonts w:ascii="Calibri" w:hAnsi="Calibri" w:cs="Calibri"/>
        </w:rPr>
        <w:lastRenderedPageBreak/>
        <w:t>Key Facts About Disability and Gender</w:t>
      </w:r>
      <w:bookmarkEnd w:id="19"/>
      <w:bookmarkEnd w:id="20"/>
    </w:p>
    <w:p w14:paraId="1F2BBC70" w14:textId="77777777" w:rsidR="008742FD" w:rsidRPr="001C2BDA" w:rsidRDefault="008742FD" w:rsidP="008742FD">
      <w:pPr>
        <w:pStyle w:val="Titre2"/>
        <w:spacing w:before="120" w:line="240" w:lineRule="auto"/>
        <w:rPr>
          <w:rFonts w:cstheme="majorHAnsi"/>
          <w:sz w:val="24"/>
          <w:szCs w:val="24"/>
        </w:rPr>
      </w:pPr>
      <w:bookmarkStart w:id="21" w:name="_Toc54772943"/>
      <w:bookmarkStart w:id="22" w:name="_Toc56677063"/>
      <w:r w:rsidRPr="001C2BDA">
        <w:rPr>
          <w:rFonts w:cstheme="majorHAnsi"/>
          <w:sz w:val="24"/>
          <w:szCs w:val="24"/>
        </w:rPr>
        <w:t>Who Are Women with Disabilities?</w:t>
      </w:r>
      <w:bookmarkEnd w:id="21"/>
      <w:bookmarkEnd w:id="22"/>
    </w:p>
    <w:p w14:paraId="6BE8CEC1"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5D50B98C"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7CEB1E60"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62F94601" w14:textId="77777777" w:rsidR="008742FD" w:rsidRPr="001C2BDA" w:rsidRDefault="008742FD" w:rsidP="008742FD">
      <w:pPr>
        <w:pStyle w:val="Titre2"/>
        <w:spacing w:before="120" w:line="240" w:lineRule="auto"/>
        <w:rPr>
          <w:rFonts w:cstheme="majorHAnsi"/>
          <w:sz w:val="24"/>
          <w:szCs w:val="24"/>
        </w:rPr>
      </w:pPr>
      <w:bookmarkStart w:id="23" w:name="_Toc54772944"/>
      <w:bookmarkStart w:id="24" w:name="_Toc56677064"/>
      <w:r w:rsidRPr="001C2BDA">
        <w:rPr>
          <w:rFonts w:cstheme="majorHAnsi"/>
          <w:sz w:val="24"/>
          <w:szCs w:val="24"/>
        </w:rPr>
        <w:t>What Barriers Do We Face?</w:t>
      </w:r>
      <w:bookmarkEnd w:id="23"/>
      <w:bookmarkEnd w:id="24"/>
    </w:p>
    <w:p w14:paraId="0FFF7B65"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572D7BCD"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06F34476"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3D96264E"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44484418"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23692AAE" w14:textId="77777777" w:rsidR="008742FD" w:rsidRPr="004535A6" w:rsidRDefault="008742FD" w:rsidP="008742FD">
      <w:pPr>
        <w:spacing w:before="120" w:after="0" w:line="240" w:lineRule="auto"/>
        <w:rPr>
          <w:rFonts w:ascii="Calibri" w:hAnsi="Calibri" w:cs="Calibri"/>
        </w:rPr>
      </w:pPr>
    </w:p>
    <w:p w14:paraId="14972683" w14:textId="77777777" w:rsidR="008742FD" w:rsidRPr="004535A6" w:rsidRDefault="008742FD" w:rsidP="008742FD">
      <w:pPr>
        <w:pStyle w:val="Titre2"/>
        <w:spacing w:before="120" w:line="240" w:lineRule="auto"/>
        <w:rPr>
          <w:rFonts w:ascii="Calibri" w:hAnsi="Calibri" w:cs="Calibri"/>
        </w:rPr>
      </w:pPr>
      <w:bookmarkStart w:id="25" w:name="_Toc54772945"/>
      <w:bookmarkStart w:id="26" w:name="_Toc56677065"/>
      <w:r w:rsidRPr="004535A6">
        <w:rPr>
          <w:rFonts w:ascii="Calibri" w:hAnsi="Calibri" w:cs="Calibri"/>
        </w:rPr>
        <w:t>Key Facts About Disability and Violence Against Women</w:t>
      </w:r>
      <w:bookmarkEnd w:id="25"/>
      <w:bookmarkEnd w:id="26"/>
    </w:p>
    <w:p w14:paraId="05AD2624" w14:textId="77777777" w:rsidR="008742FD" w:rsidRPr="00D923DF" w:rsidRDefault="008742FD" w:rsidP="008742FD">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5E9CEF8B" w14:textId="77777777" w:rsidR="008742FD" w:rsidRPr="00D923DF" w:rsidRDefault="008742FD" w:rsidP="008742FD">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459E97BD" w14:textId="77777777" w:rsidR="008742FD" w:rsidRPr="00D923DF" w:rsidRDefault="008742FD" w:rsidP="008742FD">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70300B3E" w14:textId="77777777" w:rsidR="008742FD" w:rsidRPr="00D923DF" w:rsidRDefault="008742FD" w:rsidP="008742FD">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7E2C44B4" w14:textId="77777777" w:rsidR="008742FD" w:rsidRPr="00D923DF" w:rsidRDefault="008742FD" w:rsidP="008742FD">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03549EE9" w14:textId="77777777" w:rsidR="008742FD" w:rsidRPr="00D923DF" w:rsidRDefault="008742FD" w:rsidP="008742FD">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60610B50" w14:textId="77777777" w:rsidR="008742FD" w:rsidRPr="00D923DF" w:rsidRDefault="008742FD" w:rsidP="008742FD">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0242E0C9" w14:textId="77777777" w:rsidR="008742FD" w:rsidRPr="004535A6" w:rsidRDefault="008742FD" w:rsidP="008742FD">
      <w:pPr>
        <w:pStyle w:val="Titre2"/>
        <w:spacing w:before="120" w:line="240" w:lineRule="auto"/>
        <w:rPr>
          <w:rFonts w:ascii="Calibri" w:hAnsi="Calibri" w:cs="Calibri"/>
        </w:rPr>
      </w:pPr>
      <w:bookmarkStart w:id="27" w:name="_Toc54772946"/>
      <w:bookmarkStart w:id="28" w:name="_Toc56677066"/>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27"/>
      <w:bookmarkEnd w:id="28"/>
    </w:p>
    <w:p w14:paraId="5AB632CB"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1AC7834C" w14:textId="77777777" w:rsidR="008742FD" w:rsidRPr="002A61A9" w:rsidRDefault="008742FD" w:rsidP="008742FD">
      <w:pPr>
        <w:pStyle w:val="Titre3"/>
        <w:spacing w:before="120" w:line="240" w:lineRule="auto"/>
        <w:rPr>
          <w:rFonts w:cstheme="majorHAnsi"/>
          <w:color w:val="2E74B5" w:themeColor="accent1" w:themeShade="BF"/>
        </w:rPr>
      </w:pPr>
      <w:bookmarkStart w:id="29" w:name="_Toc54772947"/>
      <w:bookmarkStart w:id="30" w:name="_Toc56677067"/>
      <w:r w:rsidRPr="002A61A9">
        <w:rPr>
          <w:rFonts w:cstheme="majorHAnsi"/>
          <w:color w:val="2E74B5" w:themeColor="accent1" w:themeShade="BF"/>
        </w:rPr>
        <w:t>Guiding Principles</w:t>
      </w:r>
      <w:bookmarkEnd w:id="29"/>
      <w:bookmarkEnd w:id="30"/>
    </w:p>
    <w:p w14:paraId="7304B427" w14:textId="77777777" w:rsidR="008742FD" w:rsidRDefault="008742FD" w:rsidP="008742FD">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16802931"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4DB8FB5E"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4C901253"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4E1BD770"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1D24C300"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26598C47"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546738E3"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16FE460B"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33D1C4DA"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1179A329"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027505B5"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5E68B1DD"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717C6591"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4C516D4D"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6ADB061A"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6F85F932"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01B5E6C8"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3A63449F"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0D4C69EC"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47884B44"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52BC42F3"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1B61368D" w14:textId="77777777" w:rsidR="008742FD" w:rsidRPr="004535A6" w:rsidRDefault="008742FD" w:rsidP="008742FD">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7B7683A1"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0CA4B17A" w14:textId="77777777" w:rsidR="008742FD" w:rsidRPr="002A61A9" w:rsidRDefault="008742FD" w:rsidP="008742FD">
      <w:pPr>
        <w:pStyle w:val="Titre3"/>
        <w:spacing w:before="120" w:line="240" w:lineRule="auto"/>
        <w:ind w:left="274" w:hanging="274"/>
        <w:rPr>
          <w:rFonts w:cstheme="majorHAnsi"/>
          <w:color w:val="2E74B5" w:themeColor="accent1" w:themeShade="BF"/>
        </w:rPr>
      </w:pPr>
      <w:bookmarkStart w:id="31" w:name="_Toc54772948"/>
      <w:bookmarkStart w:id="32" w:name="_Toc56677068"/>
      <w:r w:rsidRPr="002A61A9">
        <w:rPr>
          <w:rFonts w:cstheme="majorHAnsi"/>
          <w:color w:val="2E74B5" w:themeColor="accent1" w:themeShade="BF"/>
        </w:rPr>
        <w:t>Audit Scope</w:t>
      </w:r>
      <w:bookmarkEnd w:id="31"/>
      <w:bookmarkEnd w:id="32"/>
    </w:p>
    <w:p w14:paraId="25393DB5"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20011EEC"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660C193A"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tool, and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7930A992"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5AE64EA2"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50637BC9" w14:textId="77777777" w:rsidR="008742FD" w:rsidRPr="002A61A9" w:rsidRDefault="008742FD" w:rsidP="008742FD">
      <w:pPr>
        <w:pStyle w:val="Titre3"/>
        <w:spacing w:before="120" w:line="240" w:lineRule="auto"/>
        <w:ind w:left="274" w:hanging="274"/>
        <w:rPr>
          <w:rFonts w:cstheme="majorHAnsi"/>
          <w:color w:val="2E74B5" w:themeColor="accent1" w:themeShade="BF"/>
        </w:rPr>
      </w:pPr>
      <w:bookmarkStart w:id="33" w:name="_Toc33018566"/>
      <w:bookmarkStart w:id="34" w:name="_Toc54772949"/>
      <w:bookmarkStart w:id="35" w:name="_Toc56677069"/>
      <w:r w:rsidRPr="002A61A9">
        <w:rPr>
          <w:rFonts w:cstheme="majorHAnsi"/>
          <w:color w:val="2E74B5" w:themeColor="accent1" w:themeShade="BF"/>
        </w:rPr>
        <w:t>Data Collection and Presentation</w:t>
      </w:r>
      <w:bookmarkEnd w:id="33"/>
      <w:bookmarkEnd w:id="34"/>
      <w:bookmarkEnd w:id="35"/>
    </w:p>
    <w:p w14:paraId="1390AD2E"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toolkit, </w:t>
      </w:r>
      <w:r w:rsidRPr="004535A6">
        <w:rPr>
          <w:rFonts w:ascii="Calibri" w:hAnsi="Calibri" w:cs="Calibri"/>
        </w:rPr>
        <w:t xml:space="preserve">and determine and plan to fill gaps in current organisational systems, processes and infrastructure according to their organisational and regional strategic priorities and resources.  </w:t>
      </w:r>
    </w:p>
    <w:p w14:paraId="30508B6A" w14:textId="77777777" w:rsidR="008742FD" w:rsidRPr="002A61A9" w:rsidRDefault="008742FD" w:rsidP="008742FD">
      <w:pPr>
        <w:pStyle w:val="Titre3"/>
        <w:spacing w:before="120" w:line="240" w:lineRule="auto"/>
        <w:ind w:left="274" w:hanging="274"/>
        <w:rPr>
          <w:rFonts w:cstheme="majorHAnsi"/>
          <w:color w:val="2E74B5" w:themeColor="accent1" w:themeShade="BF"/>
        </w:rPr>
      </w:pPr>
      <w:bookmarkStart w:id="36" w:name="_Toc54772950"/>
      <w:bookmarkStart w:id="37" w:name="_Toc56677070"/>
      <w:r w:rsidRPr="002A61A9">
        <w:rPr>
          <w:rFonts w:cstheme="majorHAnsi"/>
          <w:color w:val="2E74B5" w:themeColor="accent1" w:themeShade="BF"/>
        </w:rPr>
        <w:t>Audit Instructions</w:t>
      </w:r>
      <w:bookmarkEnd w:id="36"/>
      <w:bookmarkEnd w:id="37"/>
    </w:p>
    <w:p w14:paraId="1D0122D9"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4FA2A14B" w14:textId="77777777" w:rsidR="008742FD" w:rsidRPr="004535A6" w:rsidRDefault="008742FD" w:rsidP="008742FD">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2D129882" w14:textId="77777777" w:rsidR="008742FD" w:rsidRDefault="008742FD" w:rsidP="008742FD">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3D717A09" w14:textId="77777777" w:rsidR="008742FD" w:rsidRPr="00950B5D" w:rsidRDefault="008742FD" w:rsidP="008742FD">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38" w:name="_Toc33527998"/>
      <w:r>
        <w:rPr>
          <w:rFonts w:asciiTheme="minorHAnsi" w:hAnsiTheme="minorHAnsi"/>
        </w:rPr>
        <w:br w:type="page"/>
      </w:r>
    </w:p>
    <w:p w14:paraId="0E99A64A" w14:textId="0DDD96CA" w:rsidR="00CA5345" w:rsidRPr="002A61A9" w:rsidRDefault="00CA5345" w:rsidP="00A720D2">
      <w:pPr>
        <w:pStyle w:val="Titre2"/>
        <w:spacing w:before="120" w:after="120" w:line="240" w:lineRule="auto"/>
        <w:rPr>
          <w:rFonts w:asciiTheme="minorHAnsi" w:hAnsiTheme="minorHAnsi" w:cstheme="minorHAnsi"/>
        </w:rPr>
      </w:pPr>
      <w:bookmarkStart w:id="39" w:name="_Toc56677071"/>
      <w:r w:rsidRPr="002A61A9">
        <w:rPr>
          <w:rFonts w:asciiTheme="minorHAnsi" w:hAnsiTheme="minorHAnsi" w:cstheme="minorHAnsi"/>
        </w:rPr>
        <w:lastRenderedPageBreak/>
        <w:t>Prevention of Violence Against Women Disability Audit</w:t>
      </w:r>
      <w:bookmarkEnd w:id="39"/>
    </w:p>
    <w:p w14:paraId="378D13DD" w14:textId="77777777" w:rsidR="00CA5345" w:rsidRPr="002A61A9" w:rsidRDefault="00CA5345" w:rsidP="00A720D2">
      <w:pPr>
        <w:pStyle w:val="Titre2"/>
        <w:spacing w:before="120" w:after="120" w:line="240" w:lineRule="auto"/>
        <w:rPr>
          <w:rFonts w:asciiTheme="minorHAnsi" w:hAnsiTheme="minorHAnsi" w:cstheme="minorHAnsi"/>
          <w:sz w:val="22"/>
          <w:szCs w:val="22"/>
        </w:rPr>
      </w:pPr>
    </w:p>
    <w:p w14:paraId="002BA783" w14:textId="77777777" w:rsidR="008742FD" w:rsidRPr="002A61A9" w:rsidRDefault="008742FD" w:rsidP="008742FD">
      <w:pPr>
        <w:pStyle w:val="Titre3"/>
        <w:rPr>
          <w:rFonts w:asciiTheme="minorHAnsi" w:hAnsiTheme="minorHAnsi" w:cstheme="minorHAnsi"/>
        </w:rPr>
      </w:pPr>
      <w:bookmarkStart w:id="40" w:name="_Toc54772952"/>
      <w:bookmarkStart w:id="41" w:name="_Toc56677072"/>
      <w:bookmarkEnd w:id="38"/>
      <w:r w:rsidRPr="002A61A9">
        <w:rPr>
          <w:rFonts w:asciiTheme="minorHAnsi" w:hAnsiTheme="minorHAnsi" w:cstheme="minorHAnsi"/>
          <w:color w:val="2E74B5" w:themeColor="accent1" w:themeShade="BF"/>
        </w:rPr>
        <w:t>Premises</w:t>
      </w:r>
      <w:bookmarkEnd w:id="40"/>
      <w:bookmarkEnd w:id="41"/>
    </w:p>
    <w:p w14:paraId="25C5F7AD" w14:textId="77777777" w:rsidR="008742FD" w:rsidRDefault="008742FD" w:rsidP="008742FD">
      <w:pPr>
        <w:spacing w:before="120" w:after="0" w:line="240" w:lineRule="auto"/>
        <w:rPr>
          <w:rFonts w:ascii="Calibri" w:hAnsi="Calibri" w:cs="Calibri"/>
        </w:rPr>
      </w:pPr>
      <w:r w:rsidRPr="004535A6">
        <w:rPr>
          <w:rFonts w:ascii="Calibri" w:hAnsi="Calibri" w:cs="Calibri"/>
        </w:rPr>
        <w:t xml:space="preserve">This </w:t>
      </w:r>
      <w:r>
        <w:rPr>
          <w:rFonts w:ascii="Calibri" w:hAnsi="Calibri" w:cs="Calibri"/>
        </w:rPr>
        <w:t>tool</w:t>
      </w:r>
      <w:r w:rsidRPr="004535A6">
        <w:rPr>
          <w:rFonts w:ascii="Calibri" w:hAnsi="Calibri" w:cs="Calibri"/>
        </w:rPr>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9" w:history="1">
        <w:r w:rsidRPr="004535A6">
          <w:rPr>
            <w:rStyle w:val="Lienhypertexte"/>
            <w:rFonts w:ascii="Calibri" w:hAnsi="Calibri" w:cs="Calibri"/>
          </w:rPr>
          <w:t>https://www.access.asn.au/</w:t>
        </w:r>
      </w:hyperlink>
      <w:r w:rsidRPr="0052077F">
        <w:rPr>
          <w:rStyle w:val="Lienhypertexte"/>
          <w:rFonts w:ascii="Calibri" w:hAnsi="Calibri" w:cs="Calibri"/>
          <w:color w:val="000000" w:themeColor="text1"/>
          <w:u w:val="none"/>
        </w:rPr>
        <w:t>.</w:t>
      </w:r>
    </w:p>
    <w:p w14:paraId="44E7C93B" w14:textId="77777777" w:rsidR="00CA5345" w:rsidRPr="004535A6" w:rsidRDefault="00CA5345" w:rsidP="00A720D2">
      <w:pPr>
        <w:spacing w:before="120" w:after="120" w:line="240" w:lineRule="auto"/>
        <w:rPr>
          <w:rFonts w:ascii="Calibri" w:hAnsi="Calibri" w:cs="Calibri"/>
        </w:rPr>
      </w:pPr>
    </w:p>
    <w:p w14:paraId="5E4E02B3" w14:textId="43009A7A" w:rsidR="00A720D2" w:rsidRPr="002A61A9" w:rsidRDefault="004B5FEE" w:rsidP="00A720D2">
      <w:pPr>
        <w:pStyle w:val="Titre3"/>
        <w:rPr>
          <w:rFonts w:asciiTheme="minorHAnsi" w:hAnsiTheme="minorHAnsi" w:cstheme="minorHAnsi"/>
          <w:color w:val="2E74B5" w:themeColor="accent1" w:themeShade="BF"/>
        </w:rPr>
      </w:pPr>
      <w:bookmarkStart w:id="42" w:name="_Toc33527999"/>
      <w:bookmarkStart w:id="43" w:name="_Toc56677073"/>
      <w:r w:rsidRPr="002A61A9">
        <w:rPr>
          <w:rFonts w:asciiTheme="minorHAnsi" w:hAnsiTheme="minorHAnsi" w:cstheme="minorHAnsi"/>
          <w:color w:val="2E74B5" w:themeColor="accent1" w:themeShade="BF"/>
        </w:rPr>
        <w:t>Lobby</w:t>
      </w:r>
      <w:r w:rsidR="00CA5345" w:rsidRPr="002A61A9">
        <w:rPr>
          <w:rFonts w:asciiTheme="minorHAnsi" w:hAnsiTheme="minorHAnsi" w:cstheme="minorHAnsi"/>
          <w:color w:val="2E74B5" w:themeColor="accent1" w:themeShade="BF"/>
        </w:rPr>
        <w:t xml:space="preserve"> and </w:t>
      </w:r>
      <w:bookmarkEnd w:id="42"/>
      <w:r w:rsidRPr="002A61A9">
        <w:rPr>
          <w:rFonts w:asciiTheme="minorHAnsi" w:hAnsiTheme="minorHAnsi" w:cstheme="minorHAnsi"/>
          <w:color w:val="2E74B5" w:themeColor="accent1" w:themeShade="BF"/>
        </w:rPr>
        <w:t>Reception</w:t>
      </w:r>
      <w:bookmarkEnd w:id="43"/>
      <w:r w:rsidR="00CA5345" w:rsidRPr="002A61A9">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44" w:name="_Toc56677074"/>
      <w:r w:rsidRPr="000F3C75">
        <w:rPr>
          <w:rFonts w:cstheme="majorHAnsi"/>
          <w:color w:val="2E74B5" w:themeColor="accent1" w:themeShade="BF"/>
        </w:rPr>
        <w:t>Questions</w:t>
      </w:r>
      <w:bookmarkEnd w:id="44"/>
    </w:p>
    <w:p w14:paraId="655D302E" w14:textId="1CBADF63" w:rsidR="004B5FEE" w:rsidRPr="00764E56" w:rsidRDefault="004B5FEE" w:rsidP="004B5FEE">
      <w:pPr>
        <w:spacing w:before="120" w:after="0" w:line="240" w:lineRule="auto"/>
      </w:pPr>
      <w:r w:rsidRPr="00764E56">
        <w:t>The questions</w:t>
      </w:r>
      <w:r w:rsidR="008742FD">
        <w:t xml:space="preserve"> below</w:t>
      </w:r>
      <w:r w:rsidRPr="00764E56">
        <w:t xml:space="preserve"> relate to the accessibility of your building’s or event space’s lobby and reception area.</w:t>
      </w:r>
      <w:r w:rsidR="00C921A4">
        <w:t xml:space="preserve"> </w:t>
      </w:r>
      <w:r w:rsidRPr="00764E56">
        <w:t xml:space="preserve">Enhancements to the physical accessibility of your organisation’s lobby and reception area may be limited by resource constraints and leasing contracts in the short term. Reviewing of organisational procedures to ensure reception areas are always attended and sign-in or registration processes are accessible can be implemented fairly easily. Access can be further improved through removal of unnecessary clutter and the strategic positioning of furniture to ensure clear paths of navigation. Access considerations can be factored into accommodation decisions if your organisation plans to relocate in the longer term. The below questions can assist you to assess the accessibility of spaces used for your organisation’s public events or meetings where external stakeholders are engaged.  </w:t>
      </w:r>
    </w:p>
    <w:p w14:paraId="430E5271" w14:textId="77777777" w:rsidR="004B5FEE" w:rsidRPr="00764E56" w:rsidRDefault="004B5FEE" w:rsidP="004B5FEE">
      <w:pPr>
        <w:spacing w:before="120" w:after="0" w:line="240" w:lineRule="auto"/>
        <w:rPr>
          <w:b/>
        </w:rPr>
      </w:pPr>
      <w:r w:rsidRPr="00764E56">
        <w:rPr>
          <w:b/>
        </w:rPr>
        <w:t>Reflective question:</w:t>
      </w:r>
    </w:p>
    <w:p w14:paraId="46485435" w14:textId="481894AF" w:rsidR="004B5FEE" w:rsidRPr="008B7DCA" w:rsidRDefault="004B5FEE" w:rsidP="004B5FEE">
      <w:pPr>
        <w:spacing w:before="120" w:after="0" w:line="240" w:lineRule="auto"/>
        <w:rPr>
          <w:b/>
        </w:rPr>
      </w:pPr>
      <w:r w:rsidRPr="00D923DF">
        <w:rPr>
          <w:b/>
        </w:rPr>
        <w:t>How easily do you believe people with disabilities can navigate the reception and lobby area of your building/event space?</w:t>
      </w:r>
    </w:p>
    <w:tbl>
      <w:tblPr>
        <w:tblStyle w:val="Grilledutableau"/>
        <w:tblW w:w="0" w:type="auto"/>
        <w:tblLook w:val="04A0" w:firstRow="1" w:lastRow="0" w:firstColumn="1" w:lastColumn="0" w:noHBand="0" w:noVBand="1"/>
      </w:tblPr>
      <w:tblGrid>
        <w:gridCol w:w="7195"/>
        <w:gridCol w:w="2541"/>
      </w:tblGrid>
      <w:tr w:rsidR="004B5FEE" w:rsidRPr="004535A6" w14:paraId="43D9C9BA" w14:textId="77777777" w:rsidTr="008B7DCA">
        <w:tc>
          <w:tcPr>
            <w:tcW w:w="7195" w:type="dxa"/>
          </w:tcPr>
          <w:p w14:paraId="5FD35D7A" w14:textId="77777777" w:rsidR="004B5FEE" w:rsidRPr="004535A6" w:rsidRDefault="004B5FEE" w:rsidP="005D0CCD">
            <w:pPr>
              <w:spacing w:before="120"/>
              <w:rPr>
                <w:rFonts w:ascii="Calibri" w:hAnsi="Calibri" w:cs="Calibri"/>
              </w:rPr>
            </w:pPr>
            <w:r w:rsidRPr="004535A6">
              <w:rPr>
                <w:rFonts w:ascii="Calibri" w:hAnsi="Calibri" w:cs="Calibri"/>
              </w:rPr>
              <w:t>Question</w:t>
            </w:r>
          </w:p>
        </w:tc>
        <w:tc>
          <w:tcPr>
            <w:tcW w:w="2541" w:type="dxa"/>
          </w:tcPr>
          <w:p w14:paraId="4AB6048F" w14:textId="77777777" w:rsidR="004B5FEE" w:rsidRPr="004535A6" w:rsidRDefault="004B5FEE" w:rsidP="005D0CCD">
            <w:pPr>
              <w:spacing w:before="120"/>
              <w:rPr>
                <w:rFonts w:ascii="Calibri" w:hAnsi="Calibri" w:cs="Calibri"/>
              </w:rPr>
            </w:pPr>
            <w:r w:rsidRPr="004535A6">
              <w:rPr>
                <w:rFonts w:ascii="Calibri" w:hAnsi="Calibri" w:cs="Calibri"/>
              </w:rPr>
              <w:t>Timeframe for Resolution</w:t>
            </w:r>
          </w:p>
        </w:tc>
      </w:tr>
      <w:tr w:rsidR="004B5FEE" w:rsidRPr="004535A6" w14:paraId="6913FC42" w14:textId="77777777" w:rsidTr="008B7DCA">
        <w:tc>
          <w:tcPr>
            <w:tcW w:w="7195" w:type="dxa"/>
          </w:tcPr>
          <w:p w14:paraId="151CAE01" w14:textId="7D9CDC55" w:rsidR="004B5FEE" w:rsidRPr="004535A6" w:rsidRDefault="004B5FEE" w:rsidP="005D0CCD">
            <w:pPr>
              <w:spacing w:before="120"/>
              <w:rPr>
                <w:rFonts w:ascii="Calibri" w:hAnsi="Calibri" w:cs="Calibri"/>
              </w:rPr>
            </w:pPr>
            <w:r w:rsidRPr="004535A6">
              <w:rPr>
                <w:rFonts w:ascii="Calibri" w:hAnsi="Calibri" w:cs="Calibri"/>
              </w:rPr>
              <w:t>How is the entrance door distinguishable from the façade</w:t>
            </w:r>
            <w:r w:rsidR="00C921A4">
              <w:rPr>
                <w:rFonts w:ascii="Calibri" w:hAnsi="Calibri" w:cs="Calibri"/>
              </w:rPr>
              <w:t>?</w:t>
            </w:r>
          </w:p>
        </w:tc>
        <w:tc>
          <w:tcPr>
            <w:tcW w:w="2541" w:type="dxa"/>
          </w:tcPr>
          <w:p w14:paraId="084C1024" w14:textId="77777777" w:rsidR="004B5FEE" w:rsidRPr="004535A6" w:rsidRDefault="004B5FEE" w:rsidP="005D0CCD">
            <w:pPr>
              <w:spacing w:before="120"/>
              <w:rPr>
                <w:rFonts w:ascii="Calibri" w:hAnsi="Calibri" w:cs="Calibri"/>
              </w:rPr>
            </w:pPr>
          </w:p>
        </w:tc>
      </w:tr>
      <w:tr w:rsidR="004B5FEE" w:rsidRPr="004535A6" w14:paraId="1B6FC39D" w14:textId="77777777" w:rsidTr="008B7DCA">
        <w:trPr>
          <w:trHeight w:val="1033"/>
        </w:trPr>
        <w:tc>
          <w:tcPr>
            <w:tcW w:w="9736" w:type="dxa"/>
            <w:gridSpan w:val="2"/>
            <w:shd w:val="clear" w:color="auto" w:fill="D9D9D9" w:themeFill="background1" w:themeFillShade="D9"/>
          </w:tcPr>
          <w:p w14:paraId="3EC15F3F" w14:textId="69C17771" w:rsidR="004B5FEE" w:rsidRPr="004535A6" w:rsidRDefault="004B5FEE" w:rsidP="005D0CCD">
            <w:pPr>
              <w:spacing w:before="120"/>
              <w:rPr>
                <w:rFonts w:ascii="Calibri" w:hAnsi="Calibri" w:cs="Calibri"/>
              </w:rPr>
            </w:pPr>
            <w:r w:rsidRPr="004535A6">
              <w:rPr>
                <w:rFonts w:ascii="Calibri" w:hAnsi="Calibri" w:cs="Calibri"/>
              </w:rPr>
              <w:t xml:space="preserve">Using markings providing luminance contrast ensures that doors can be located by people with vision impairments. See </w:t>
            </w:r>
            <w:hyperlink r:id="rId20" w:history="1">
              <w:r w:rsidRPr="004535A6">
                <w:rPr>
                  <w:rStyle w:val="Lienhypertexte"/>
                  <w:rFonts w:ascii="Calibri" w:hAnsi="Calibri" w:cs="Calibri"/>
                </w:rPr>
                <w:t>https://accesscentral.com.au/2018/08/19/luminance-contrast-of-doorways-do-you-see-it-you-should/</w:t>
              </w:r>
            </w:hyperlink>
            <w:r w:rsidRPr="004535A6">
              <w:rPr>
                <w:rFonts w:ascii="Calibri" w:hAnsi="Calibri" w:cs="Calibri"/>
              </w:rPr>
              <w:t xml:space="preserve"> for more technical advice.</w:t>
            </w:r>
          </w:p>
        </w:tc>
      </w:tr>
      <w:tr w:rsidR="004B5FEE" w:rsidRPr="004535A6" w14:paraId="432544DC" w14:textId="77777777" w:rsidTr="005D0CCD">
        <w:tc>
          <w:tcPr>
            <w:tcW w:w="9736" w:type="dxa"/>
            <w:gridSpan w:val="2"/>
          </w:tcPr>
          <w:p w14:paraId="29B01BB4" w14:textId="77777777" w:rsidR="004B5FEE" w:rsidRDefault="004B5FEE" w:rsidP="005D0CCD">
            <w:pPr>
              <w:spacing w:before="120"/>
              <w:rPr>
                <w:rFonts w:ascii="Calibri" w:hAnsi="Calibri" w:cs="Calibri"/>
              </w:rPr>
            </w:pPr>
            <w:r w:rsidRPr="004535A6">
              <w:rPr>
                <w:rFonts w:ascii="Calibri" w:hAnsi="Calibri" w:cs="Calibri"/>
              </w:rPr>
              <w:t>Response:</w:t>
            </w:r>
          </w:p>
          <w:p w14:paraId="64238EAC" w14:textId="77777777" w:rsidR="004B5FEE" w:rsidRPr="004535A6" w:rsidRDefault="004B5FEE" w:rsidP="005D0CCD">
            <w:pPr>
              <w:spacing w:before="120"/>
              <w:rPr>
                <w:rFonts w:ascii="Calibri" w:hAnsi="Calibri" w:cs="Calibri"/>
              </w:rPr>
            </w:pPr>
          </w:p>
        </w:tc>
      </w:tr>
      <w:tr w:rsidR="004B5FEE" w:rsidRPr="004535A6" w14:paraId="6295EA8E" w14:textId="77777777" w:rsidTr="008B7DCA">
        <w:tc>
          <w:tcPr>
            <w:tcW w:w="7195" w:type="dxa"/>
          </w:tcPr>
          <w:p w14:paraId="07CF86BD" w14:textId="77777777" w:rsidR="004B5FEE" w:rsidRPr="004535A6" w:rsidRDefault="004B5FEE" w:rsidP="005D0CCD">
            <w:pPr>
              <w:spacing w:before="120"/>
              <w:rPr>
                <w:rFonts w:ascii="Calibri" w:hAnsi="Calibri" w:cs="Calibri"/>
              </w:rPr>
            </w:pPr>
            <w:r w:rsidRPr="004535A6">
              <w:rPr>
                <w:rFonts w:ascii="Calibri" w:hAnsi="Calibri" w:cs="Calibri"/>
              </w:rPr>
              <w:t>If the entrance door is made from glass, is it visible when closed?</w:t>
            </w:r>
          </w:p>
        </w:tc>
        <w:tc>
          <w:tcPr>
            <w:tcW w:w="2541" w:type="dxa"/>
          </w:tcPr>
          <w:p w14:paraId="3F70B9D5" w14:textId="77777777" w:rsidR="004B5FEE" w:rsidRPr="004535A6" w:rsidRDefault="004B5FEE" w:rsidP="005D0CCD">
            <w:pPr>
              <w:spacing w:before="120"/>
              <w:rPr>
                <w:rFonts w:ascii="Calibri" w:hAnsi="Calibri" w:cs="Calibri"/>
              </w:rPr>
            </w:pPr>
          </w:p>
        </w:tc>
      </w:tr>
      <w:tr w:rsidR="004B5FEE" w:rsidRPr="004535A6" w14:paraId="379CE7B2" w14:textId="77777777" w:rsidTr="005D0CCD">
        <w:tc>
          <w:tcPr>
            <w:tcW w:w="9736" w:type="dxa"/>
            <w:gridSpan w:val="2"/>
            <w:shd w:val="clear" w:color="auto" w:fill="D9D9D9" w:themeFill="background1" w:themeFillShade="D9"/>
          </w:tcPr>
          <w:p w14:paraId="2C54430C" w14:textId="3E10295B" w:rsidR="004B5FEE" w:rsidRPr="004535A6" w:rsidRDefault="004B5FEE" w:rsidP="005D0CCD">
            <w:pPr>
              <w:spacing w:before="120"/>
              <w:rPr>
                <w:rFonts w:ascii="Calibri" w:hAnsi="Calibri" w:cs="Calibri"/>
              </w:rPr>
            </w:pPr>
            <w:r w:rsidRPr="004535A6">
              <w:rPr>
                <w:rFonts w:ascii="Calibri" w:hAnsi="Calibri" w:cs="Calibri"/>
              </w:rPr>
              <w:t>A contrasting coloured strip across the width of a glass door ensures it is visible for people with vision impairments. See resource listed above.</w:t>
            </w:r>
          </w:p>
        </w:tc>
      </w:tr>
      <w:tr w:rsidR="004B5FEE" w:rsidRPr="004535A6" w14:paraId="74891B66" w14:textId="77777777" w:rsidTr="005D0CCD">
        <w:tc>
          <w:tcPr>
            <w:tcW w:w="9736" w:type="dxa"/>
            <w:gridSpan w:val="2"/>
          </w:tcPr>
          <w:p w14:paraId="19716452" w14:textId="77777777" w:rsidR="004B5FEE" w:rsidRDefault="004B5FEE" w:rsidP="005D0CCD">
            <w:pPr>
              <w:spacing w:before="120"/>
              <w:rPr>
                <w:rFonts w:ascii="Calibri" w:hAnsi="Calibri" w:cs="Calibri"/>
              </w:rPr>
            </w:pPr>
            <w:r w:rsidRPr="004535A6">
              <w:rPr>
                <w:rFonts w:ascii="Calibri" w:hAnsi="Calibri" w:cs="Calibri"/>
              </w:rPr>
              <w:t>Response:</w:t>
            </w:r>
          </w:p>
          <w:p w14:paraId="2E224A4C" w14:textId="77777777" w:rsidR="004B5FEE" w:rsidRPr="004535A6" w:rsidRDefault="004B5FEE" w:rsidP="005D0CCD">
            <w:pPr>
              <w:spacing w:before="120"/>
              <w:rPr>
                <w:rFonts w:ascii="Calibri" w:hAnsi="Calibri" w:cs="Calibri"/>
              </w:rPr>
            </w:pPr>
          </w:p>
        </w:tc>
      </w:tr>
      <w:tr w:rsidR="004B5FEE" w:rsidRPr="004535A6" w14:paraId="5B1CC5E5" w14:textId="77777777" w:rsidTr="008B7DCA">
        <w:tc>
          <w:tcPr>
            <w:tcW w:w="7195" w:type="dxa"/>
          </w:tcPr>
          <w:p w14:paraId="4AED176F" w14:textId="77777777" w:rsidR="004B5FEE" w:rsidRPr="004535A6" w:rsidRDefault="004B5FEE" w:rsidP="005D0CCD">
            <w:pPr>
              <w:spacing w:before="120"/>
              <w:rPr>
                <w:rFonts w:ascii="Calibri" w:hAnsi="Calibri" w:cs="Calibri"/>
              </w:rPr>
            </w:pPr>
            <w:r w:rsidRPr="004535A6">
              <w:rPr>
                <w:rFonts w:ascii="Calibri" w:hAnsi="Calibri" w:cs="Calibri"/>
              </w:rPr>
              <w:t>How wide is the main entrance door?</w:t>
            </w:r>
          </w:p>
        </w:tc>
        <w:tc>
          <w:tcPr>
            <w:tcW w:w="2541" w:type="dxa"/>
          </w:tcPr>
          <w:p w14:paraId="04A8CF13" w14:textId="77777777" w:rsidR="004B5FEE" w:rsidRPr="004535A6" w:rsidRDefault="004B5FEE" w:rsidP="005D0CCD">
            <w:pPr>
              <w:spacing w:before="120"/>
              <w:rPr>
                <w:rFonts w:ascii="Calibri" w:hAnsi="Calibri" w:cs="Calibri"/>
              </w:rPr>
            </w:pPr>
          </w:p>
        </w:tc>
      </w:tr>
      <w:tr w:rsidR="004B5FEE" w:rsidRPr="004535A6" w14:paraId="40FE6986" w14:textId="77777777" w:rsidTr="005D0CCD">
        <w:tc>
          <w:tcPr>
            <w:tcW w:w="9736" w:type="dxa"/>
            <w:gridSpan w:val="2"/>
            <w:shd w:val="clear" w:color="auto" w:fill="D9D9D9" w:themeFill="background1" w:themeFillShade="D9"/>
          </w:tcPr>
          <w:p w14:paraId="79E0D2A8" w14:textId="1FE9C039" w:rsidR="004B5FEE" w:rsidRPr="004535A6" w:rsidRDefault="004B5FEE" w:rsidP="005D0CCD">
            <w:pPr>
              <w:spacing w:before="120"/>
              <w:rPr>
                <w:rFonts w:ascii="Calibri" w:hAnsi="Calibri" w:cs="Calibri"/>
              </w:rPr>
            </w:pPr>
            <w:r w:rsidRPr="004535A6">
              <w:rPr>
                <w:rFonts w:ascii="Calibri" w:hAnsi="Calibri" w:cs="Calibri"/>
              </w:rPr>
              <w:lastRenderedPageBreak/>
              <w:t xml:space="preserve">Entrance doorways are accessible when wide enough to accommodate the passage of someone using a wheelchair, about MM850. This can often be achieved if double doors are opened to their maximum capacity. See </w:t>
            </w:r>
            <w:hyperlink r:id="rId21" w:history="1">
              <w:r w:rsidRPr="004535A6">
                <w:rPr>
                  <w:rStyle w:val="Lienhypertexte"/>
                  <w:rFonts w:ascii="Calibri" w:hAnsi="Calibri" w:cs="Calibri"/>
                </w:rPr>
                <w:t>https://asnpl.com.au/australian-standards-1428-summarised/</w:t>
              </w:r>
            </w:hyperlink>
            <w:r w:rsidR="00C921A4" w:rsidRPr="00C628E3">
              <w:rPr>
                <w:rStyle w:val="Lienhypertexte"/>
                <w:rFonts w:ascii="Calibri" w:hAnsi="Calibri" w:cs="Calibri"/>
                <w:color w:val="000000" w:themeColor="text1"/>
                <w:u w:val="none"/>
              </w:rPr>
              <w:t>.</w:t>
            </w:r>
            <w:r w:rsidRPr="00C628E3">
              <w:rPr>
                <w:rFonts w:ascii="Calibri" w:hAnsi="Calibri" w:cs="Calibri"/>
                <w:color w:val="000000" w:themeColor="text1"/>
              </w:rPr>
              <w:t xml:space="preserve">  </w:t>
            </w:r>
          </w:p>
        </w:tc>
      </w:tr>
      <w:tr w:rsidR="004B5FEE" w:rsidRPr="004535A6" w14:paraId="23331AD1" w14:textId="77777777" w:rsidTr="005D0CCD">
        <w:tc>
          <w:tcPr>
            <w:tcW w:w="9736" w:type="dxa"/>
            <w:gridSpan w:val="2"/>
          </w:tcPr>
          <w:p w14:paraId="7B230222" w14:textId="77777777" w:rsidR="004B5FEE" w:rsidRDefault="004B5FEE" w:rsidP="005D0CCD">
            <w:pPr>
              <w:spacing w:before="120"/>
              <w:rPr>
                <w:rFonts w:ascii="Calibri" w:hAnsi="Calibri" w:cs="Calibri"/>
              </w:rPr>
            </w:pPr>
            <w:r w:rsidRPr="004535A6">
              <w:rPr>
                <w:rFonts w:ascii="Calibri" w:hAnsi="Calibri" w:cs="Calibri"/>
              </w:rPr>
              <w:t>Response:</w:t>
            </w:r>
          </w:p>
          <w:p w14:paraId="0915C4FF" w14:textId="77777777" w:rsidR="004B5FEE" w:rsidRPr="004535A6" w:rsidRDefault="004B5FEE" w:rsidP="005D0CCD">
            <w:pPr>
              <w:spacing w:before="120"/>
              <w:rPr>
                <w:rFonts w:ascii="Calibri" w:hAnsi="Calibri" w:cs="Calibri"/>
              </w:rPr>
            </w:pPr>
          </w:p>
        </w:tc>
      </w:tr>
      <w:tr w:rsidR="004B5FEE" w:rsidRPr="004535A6" w14:paraId="127CB153" w14:textId="77777777" w:rsidTr="008B7DCA">
        <w:tc>
          <w:tcPr>
            <w:tcW w:w="7195" w:type="dxa"/>
          </w:tcPr>
          <w:p w14:paraId="7A9895E5" w14:textId="6580146F" w:rsidR="004B5FEE" w:rsidRPr="004535A6" w:rsidRDefault="004B5FEE" w:rsidP="005D0CCD">
            <w:pPr>
              <w:spacing w:before="120"/>
              <w:rPr>
                <w:rFonts w:ascii="Calibri" w:hAnsi="Calibri" w:cs="Calibri"/>
              </w:rPr>
            </w:pPr>
            <w:r w:rsidRPr="004535A6">
              <w:rPr>
                <w:rFonts w:ascii="Calibri" w:hAnsi="Calibri" w:cs="Calibri"/>
              </w:rPr>
              <w:t>Describe the door’s features and opening mechanism</w:t>
            </w:r>
            <w:r w:rsidR="00C921A4">
              <w:rPr>
                <w:rFonts w:ascii="Calibri" w:hAnsi="Calibri" w:cs="Calibri"/>
              </w:rPr>
              <w:t>?</w:t>
            </w:r>
          </w:p>
        </w:tc>
        <w:tc>
          <w:tcPr>
            <w:tcW w:w="2541" w:type="dxa"/>
          </w:tcPr>
          <w:p w14:paraId="4ABB6774" w14:textId="77777777" w:rsidR="004B5FEE" w:rsidRPr="004535A6" w:rsidRDefault="004B5FEE" w:rsidP="005D0CCD">
            <w:pPr>
              <w:spacing w:before="120"/>
              <w:rPr>
                <w:rFonts w:ascii="Calibri" w:hAnsi="Calibri" w:cs="Calibri"/>
              </w:rPr>
            </w:pPr>
          </w:p>
        </w:tc>
      </w:tr>
      <w:tr w:rsidR="004B5FEE" w:rsidRPr="004535A6" w14:paraId="4F350BDC" w14:textId="77777777" w:rsidTr="005D0CCD">
        <w:tc>
          <w:tcPr>
            <w:tcW w:w="9736" w:type="dxa"/>
            <w:gridSpan w:val="2"/>
            <w:shd w:val="clear" w:color="auto" w:fill="D9D9D9" w:themeFill="background1" w:themeFillShade="D9"/>
          </w:tcPr>
          <w:p w14:paraId="54AB6B02" w14:textId="05BDAC4F" w:rsidR="004B5FEE" w:rsidRPr="004535A6" w:rsidRDefault="004B5FEE" w:rsidP="005D0CCD">
            <w:pPr>
              <w:spacing w:before="120"/>
              <w:rPr>
                <w:rFonts w:ascii="Calibri" w:hAnsi="Calibri" w:cs="Calibri"/>
              </w:rPr>
            </w:pPr>
            <w:r w:rsidRPr="004535A6">
              <w:rPr>
                <w:rFonts w:ascii="Calibri" w:hAnsi="Calibri" w:cs="Calibri"/>
              </w:rPr>
              <w:t>Automatic doors provide ultimate accessibility. If these are not available, main entrance doors can be propped open, or assistance can be made available for users for whom push button controls or handles are inaccessible.</w:t>
            </w:r>
          </w:p>
        </w:tc>
      </w:tr>
      <w:tr w:rsidR="004B5FEE" w:rsidRPr="004535A6" w14:paraId="461CF077" w14:textId="77777777" w:rsidTr="005D0CCD">
        <w:tc>
          <w:tcPr>
            <w:tcW w:w="9736" w:type="dxa"/>
            <w:gridSpan w:val="2"/>
          </w:tcPr>
          <w:p w14:paraId="4114D27C" w14:textId="77777777" w:rsidR="004B5FEE" w:rsidRDefault="004B5FEE" w:rsidP="005D0CCD">
            <w:pPr>
              <w:spacing w:before="120"/>
              <w:rPr>
                <w:rFonts w:ascii="Calibri" w:hAnsi="Calibri" w:cs="Calibri"/>
              </w:rPr>
            </w:pPr>
            <w:r w:rsidRPr="004535A6">
              <w:rPr>
                <w:rFonts w:ascii="Calibri" w:hAnsi="Calibri" w:cs="Calibri"/>
              </w:rPr>
              <w:t>Response:</w:t>
            </w:r>
          </w:p>
          <w:p w14:paraId="56DBB789" w14:textId="77777777" w:rsidR="004B5FEE" w:rsidRPr="004535A6" w:rsidRDefault="004B5FEE" w:rsidP="005D0CCD">
            <w:pPr>
              <w:spacing w:before="120"/>
              <w:rPr>
                <w:rFonts w:ascii="Calibri" w:hAnsi="Calibri" w:cs="Calibri"/>
              </w:rPr>
            </w:pPr>
          </w:p>
        </w:tc>
      </w:tr>
      <w:tr w:rsidR="004B5FEE" w:rsidRPr="004535A6" w14:paraId="4FAA7061" w14:textId="77777777" w:rsidTr="008B7DCA">
        <w:tc>
          <w:tcPr>
            <w:tcW w:w="7195" w:type="dxa"/>
          </w:tcPr>
          <w:p w14:paraId="5F41DC12" w14:textId="77777777" w:rsidR="004B5FEE" w:rsidRPr="004535A6" w:rsidRDefault="004B5FEE" w:rsidP="005D0CCD">
            <w:pPr>
              <w:spacing w:before="120"/>
              <w:rPr>
                <w:rFonts w:ascii="Calibri" w:hAnsi="Calibri" w:cs="Calibri"/>
              </w:rPr>
            </w:pPr>
            <w:r w:rsidRPr="004535A6">
              <w:rPr>
                <w:rFonts w:ascii="Calibri" w:hAnsi="Calibri" w:cs="Calibri"/>
              </w:rPr>
              <w:t>If revolving or turnstile, where is the alternative entrance door located?</w:t>
            </w:r>
          </w:p>
        </w:tc>
        <w:tc>
          <w:tcPr>
            <w:tcW w:w="2541" w:type="dxa"/>
          </w:tcPr>
          <w:p w14:paraId="7CA48C61" w14:textId="77777777" w:rsidR="004B5FEE" w:rsidRPr="004535A6" w:rsidRDefault="004B5FEE" w:rsidP="005D0CCD">
            <w:pPr>
              <w:spacing w:before="120"/>
              <w:rPr>
                <w:rFonts w:ascii="Calibri" w:hAnsi="Calibri" w:cs="Calibri"/>
              </w:rPr>
            </w:pPr>
          </w:p>
        </w:tc>
      </w:tr>
      <w:tr w:rsidR="004B5FEE" w:rsidRPr="004535A6" w14:paraId="77FCE380" w14:textId="77777777" w:rsidTr="005D0CCD">
        <w:tc>
          <w:tcPr>
            <w:tcW w:w="9736" w:type="dxa"/>
            <w:gridSpan w:val="2"/>
            <w:shd w:val="clear" w:color="auto" w:fill="D9D9D9" w:themeFill="background1" w:themeFillShade="D9"/>
          </w:tcPr>
          <w:p w14:paraId="58A61EEA" w14:textId="5887F6E3" w:rsidR="004B5FEE" w:rsidRPr="004535A6" w:rsidRDefault="004B5FEE" w:rsidP="005D0CCD">
            <w:pPr>
              <w:spacing w:before="120"/>
              <w:rPr>
                <w:rFonts w:ascii="Calibri" w:hAnsi="Calibri" w:cs="Calibri"/>
              </w:rPr>
            </w:pPr>
            <w:r w:rsidRPr="004535A6">
              <w:rPr>
                <w:rFonts w:ascii="Calibri" w:hAnsi="Calibri" w:cs="Calibri"/>
              </w:rPr>
              <w:t>Revolving or turnstile operated doors pose accessibility barriers due to the speed and agility required for their navigation. It is useful to have an alternative entrance door located alongside for easier access.</w:t>
            </w:r>
          </w:p>
        </w:tc>
      </w:tr>
      <w:tr w:rsidR="004B5FEE" w:rsidRPr="004535A6" w14:paraId="355EBA33" w14:textId="77777777" w:rsidTr="005D0CCD">
        <w:tc>
          <w:tcPr>
            <w:tcW w:w="9736" w:type="dxa"/>
            <w:gridSpan w:val="2"/>
          </w:tcPr>
          <w:p w14:paraId="3BB0A64D" w14:textId="77777777" w:rsidR="004B5FEE" w:rsidRDefault="004B5FEE" w:rsidP="005D0CCD">
            <w:pPr>
              <w:spacing w:before="120"/>
              <w:rPr>
                <w:rFonts w:ascii="Calibri" w:hAnsi="Calibri" w:cs="Calibri"/>
              </w:rPr>
            </w:pPr>
            <w:r w:rsidRPr="004535A6">
              <w:rPr>
                <w:rFonts w:ascii="Calibri" w:hAnsi="Calibri" w:cs="Calibri"/>
              </w:rPr>
              <w:t>Response:</w:t>
            </w:r>
          </w:p>
          <w:p w14:paraId="02E8BB1B" w14:textId="77777777" w:rsidR="004B5FEE" w:rsidRPr="004535A6" w:rsidRDefault="004B5FEE" w:rsidP="005D0CCD">
            <w:pPr>
              <w:spacing w:before="120"/>
              <w:rPr>
                <w:rFonts w:ascii="Calibri" w:hAnsi="Calibri" w:cs="Calibri"/>
              </w:rPr>
            </w:pPr>
          </w:p>
        </w:tc>
      </w:tr>
      <w:tr w:rsidR="004B5FEE" w:rsidRPr="004535A6" w14:paraId="7B32F38F" w14:textId="77777777" w:rsidTr="008B7DCA">
        <w:tc>
          <w:tcPr>
            <w:tcW w:w="7195" w:type="dxa"/>
          </w:tcPr>
          <w:p w14:paraId="0E1A03A2" w14:textId="77777777" w:rsidR="004B5FEE" w:rsidRPr="004535A6" w:rsidRDefault="004B5FEE" w:rsidP="005D0CCD">
            <w:pPr>
              <w:spacing w:before="120"/>
              <w:rPr>
                <w:rFonts w:ascii="Calibri" w:hAnsi="Calibri" w:cs="Calibri"/>
              </w:rPr>
            </w:pPr>
            <w:r w:rsidRPr="004535A6">
              <w:rPr>
                <w:rFonts w:ascii="Calibri" w:hAnsi="Calibri" w:cs="Calibri"/>
              </w:rPr>
              <w:t>Where are door handles/opening buttons located?</w:t>
            </w:r>
          </w:p>
        </w:tc>
        <w:tc>
          <w:tcPr>
            <w:tcW w:w="2541" w:type="dxa"/>
          </w:tcPr>
          <w:p w14:paraId="170A24D0" w14:textId="77777777" w:rsidR="004B5FEE" w:rsidRPr="004535A6" w:rsidRDefault="004B5FEE" w:rsidP="005D0CCD">
            <w:pPr>
              <w:spacing w:before="120"/>
              <w:rPr>
                <w:rFonts w:ascii="Calibri" w:hAnsi="Calibri" w:cs="Calibri"/>
              </w:rPr>
            </w:pPr>
          </w:p>
        </w:tc>
      </w:tr>
      <w:tr w:rsidR="004B5FEE" w:rsidRPr="004535A6" w14:paraId="38A6A709" w14:textId="77777777" w:rsidTr="005D0CCD">
        <w:tc>
          <w:tcPr>
            <w:tcW w:w="9736" w:type="dxa"/>
            <w:gridSpan w:val="2"/>
            <w:shd w:val="clear" w:color="auto" w:fill="D9D9D9" w:themeFill="background1" w:themeFillShade="D9"/>
          </w:tcPr>
          <w:p w14:paraId="6CB6B766" w14:textId="77777777" w:rsidR="004B5FEE" w:rsidRPr="004535A6" w:rsidRDefault="004B5FEE" w:rsidP="005D0CCD">
            <w:pPr>
              <w:spacing w:before="120"/>
              <w:rPr>
                <w:rFonts w:ascii="Calibri" w:hAnsi="Calibri" w:cs="Calibri"/>
              </w:rPr>
            </w:pPr>
            <w:r w:rsidRPr="004535A6">
              <w:rPr>
                <w:rFonts w:ascii="Calibri" w:hAnsi="Calibri" w:cs="Calibri"/>
              </w:rPr>
              <w:t>Accessibility is achieved when these are located in a position to be reached by someone both in a sitting or standing position.</w:t>
            </w:r>
          </w:p>
        </w:tc>
      </w:tr>
      <w:tr w:rsidR="004B5FEE" w:rsidRPr="004535A6" w14:paraId="7D2CDBB3" w14:textId="77777777" w:rsidTr="005D0CCD">
        <w:tc>
          <w:tcPr>
            <w:tcW w:w="9736" w:type="dxa"/>
            <w:gridSpan w:val="2"/>
          </w:tcPr>
          <w:p w14:paraId="6C62DC28" w14:textId="77777777" w:rsidR="004B5FEE" w:rsidRDefault="004B5FEE" w:rsidP="005D0CCD">
            <w:pPr>
              <w:spacing w:before="120"/>
              <w:rPr>
                <w:rFonts w:ascii="Calibri" w:hAnsi="Calibri" w:cs="Calibri"/>
              </w:rPr>
            </w:pPr>
            <w:r w:rsidRPr="004535A6">
              <w:rPr>
                <w:rFonts w:ascii="Calibri" w:hAnsi="Calibri" w:cs="Calibri"/>
              </w:rPr>
              <w:t>Response:</w:t>
            </w:r>
          </w:p>
          <w:p w14:paraId="27A4ED35" w14:textId="77777777" w:rsidR="004B5FEE" w:rsidRPr="004535A6" w:rsidRDefault="004B5FEE" w:rsidP="005D0CCD">
            <w:pPr>
              <w:tabs>
                <w:tab w:val="left" w:pos="426"/>
              </w:tabs>
              <w:spacing w:before="120"/>
              <w:ind w:left="170"/>
              <w:rPr>
                <w:rFonts w:ascii="Calibri" w:hAnsi="Calibri" w:cs="Calibri"/>
              </w:rPr>
            </w:pPr>
          </w:p>
        </w:tc>
      </w:tr>
      <w:tr w:rsidR="004B5FEE" w:rsidRPr="004535A6" w14:paraId="08AB191B" w14:textId="77777777" w:rsidTr="008B7DCA">
        <w:tc>
          <w:tcPr>
            <w:tcW w:w="7195" w:type="dxa"/>
          </w:tcPr>
          <w:p w14:paraId="3CF54CE0"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Dimensions of turning space outside and inside the entrance? (in metres)</w:t>
            </w:r>
          </w:p>
        </w:tc>
        <w:tc>
          <w:tcPr>
            <w:tcW w:w="2541" w:type="dxa"/>
          </w:tcPr>
          <w:p w14:paraId="2993081D" w14:textId="77777777" w:rsidR="004B5FEE" w:rsidRPr="004535A6" w:rsidRDefault="004B5FEE" w:rsidP="005D0CCD">
            <w:pPr>
              <w:tabs>
                <w:tab w:val="left" w:pos="426"/>
              </w:tabs>
              <w:spacing w:before="120"/>
              <w:ind w:left="170"/>
              <w:rPr>
                <w:rFonts w:ascii="Calibri" w:hAnsi="Calibri" w:cs="Calibri"/>
              </w:rPr>
            </w:pPr>
          </w:p>
        </w:tc>
      </w:tr>
      <w:tr w:rsidR="004B5FEE" w:rsidRPr="004535A6" w14:paraId="31981A1C" w14:textId="77777777" w:rsidTr="005D0CCD">
        <w:tc>
          <w:tcPr>
            <w:tcW w:w="9736" w:type="dxa"/>
            <w:gridSpan w:val="2"/>
            <w:shd w:val="clear" w:color="auto" w:fill="D9D9D9" w:themeFill="background1" w:themeFillShade="D9"/>
          </w:tcPr>
          <w:p w14:paraId="26EEC8BF"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 xml:space="preserve">Turning space allows a person using a wheelchair free space to turn in and out of an entrance. </w:t>
            </w:r>
          </w:p>
        </w:tc>
      </w:tr>
      <w:tr w:rsidR="004B5FEE" w:rsidRPr="004535A6" w14:paraId="09976E79" w14:textId="77777777" w:rsidTr="005D0CCD">
        <w:tc>
          <w:tcPr>
            <w:tcW w:w="9736" w:type="dxa"/>
            <w:gridSpan w:val="2"/>
          </w:tcPr>
          <w:p w14:paraId="332E6C07" w14:textId="77777777" w:rsidR="004B5FEE" w:rsidRDefault="004B5FEE" w:rsidP="005D0CCD">
            <w:pPr>
              <w:spacing w:before="120"/>
              <w:rPr>
                <w:rFonts w:ascii="Calibri" w:hAnsi="Calibri" w:cs="Calibri"/>
              </w:rPr>
            </w:pPr>
            <w:r w:rsidRPr="004535A6">
              <w:rPr>
                <w:rFonts w:ascii="Calibri" w:hAnsi="Calibri" w:cs="Calibri"/>
              </w:rPr>
              <w:t>Response:</w:t>
            </w:r>
          </w:p>
          <w:p w14:paraId="16F329CD" w14:textId="77777777" w:rsidR="004B5FEE" w:rsidRPr="004535A6" w:rsidRDefault="004B5FEE" w:rsidP="005D0CCD">
            <w:pPr>
              <w:tabs>
                <w:tab w:val="left" w:pos="426"/>
              </w:tabs>
              <w:spacing w:before="120"/>
              <w:ind w:left="170"/>
              <w:rPr>
                <w:rFonts w:ascii="Calibri" w:hAnsi="Calibri" w:cs="Calibri"/>
              </w:rPr>
            </w:pPr>
          </w:p>
        </w:tc>
      </w:tr>
      <w:tr w:rsidR="004B5FEE" w:rsidRPr="004535A6" w14:paraId="6D1C183C" w14:textId="77777777" w:rsidTr="008B7DCA">
        <w:tc>
          <w:tcPr>
            <w:tcW w:w="7195" w:type="dxa"/>
          </w:tcPr>
          <w:p w14:paraId="1175D8FF"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Where is external signage used?</w:t>
            </w:r>
          </w:p>
        </w:tc>
        <w:tc>
          <w:tcPr>
            <w:tcW w:w="2541" w:type="dxa"/>
          </w:tcPr>
          <w:p w14:paraId="71127B96" w14:textId="77777777" w:rsidR="004B5FEE" w:rsidRPr="004535A6" w:rsidRDefault="004B5FEE" w:rsidP="005D0CCD">
            <w:pPr>
              <w:tabs>
                <w:tab w:val="left" w:pos="426"/>
              </w:tabs>
              <w:spacing w:before="120"/>
              <w:ind w:left="170"/>
              <w:rPr>
                <w:rFonts w:ascii="Calibri" w:hAnsi="Calibri" w:cs="Calibri"/>
              </w:rPr>
            </w:pPr>
          </w:p>
        </w:tc>
      </w:tr>
      <w:tr w:rsidR="004B5FEE" w:rsidRPr="004535A6" w14:paraId="037712ED" w14:textId="77777777" w:rsidTr="005D0CCD">
        <w:tc>
          <w:tcPr>
            <w:tcW w:w="9736" w:type="dxa"/>
            <w:gridSpan w:val="2"/>
            <w:shd w:val="clear" w:color="auto" w:fill="D9D9D9" w:themeFill="background1" w:themeFillShade="D9"/>
          </w:tcPr>
          <w:p w14:paraId="69DAA19E" w14:textId="77777777" w:rsidR="004B5FEE" w:rsidRPr="004535A6" w:rsidRDefault="004B5FEE" w:rsidP="005D0CCD">
            <w:pPr>
              <w:tabs>
                <w:tab w:val="left" w:pos="426"/>
              </w:tabs>
              <w:spacing w:before="120"/>
              <w:ind w:left="170" w:hanging="170"/>
              <w:rPr>
                <w:rFonts w:ascii="Calibri" w:hAnsi="Calibri" w:cs="Calibri"/>
              </w:rPr>
            </w:pPr>
            <w:r w:rsidRPr="004535A6">
              <w:rPr>
                <w:rFonts w:ascii="Calibri" w:hAnsi="Calibri" w:cs="Calibri"/>
              </w:rPr>
              <w:t>Clear external and internal signage ensures that buildings and their facilities are easily located.</w:t>
            </w:r>
          </w:p>
        </w:tc>
      </w:tr>
      <w:tr w:rsidR="004B5FEE" w:rsidRPr="004535A6" w14:paraId="43846089" w14:textId="77777777" w:rsidTr="005D0CCD">
        <w:tc>
          <w:tcPr>
            <w:tcW w:w="9736" w:type="dxa"/>
            <w:gridSpan w:val="2"/>
          </w:tcPr>
          <w:p w14:paraId="0A1DD07D" w14:textId="77777777" w:rsidR="004B5FEE" w:rsidRDefault="004B5FEE" w:rsidP="005D0CCD">
            <w:pPr>
              <w:spacing w:before="120"/>
              <w:rPr>
                <w:rFonts w:ascii="Calibri" w:hAnsi="Calibri" w:cs="Calibri"/>
              </w:rPr>
            </w:pPr>
            <w:r w:rsidRPr="004535A6">
              <w:rPr>
                <w:rFonts w:ascii="Calibri" w:hAnsi="Calibri" w:cs="Calibri"/>
              </w:rPr>
              <w:t>Response:</w:t>
            </w:r>
          </w:p>
          <w:p w14:paraId="34D3FC57" w14:textId="77777777" w:rsidR="004B5FEE" w:rsidRPr="004535A6" w:rsidRDefault="004B5FEE" w:rsidP="005D0CCD">
            <w:pPr>
              <w:tabs>
                <w:tab w:val="left" w:pos="426"/>
              </w:tabs>
              <w:spacing w:before="120"/>
              <w:ind w:left="170"/>
              <w:rPr>
                <w:rFonts w:ascii="Calibri" w:hAnsi="Calibri" w:cs="Calibri"/>
              </w:rPr>
            </w:pPr>
          </w:p>
        </w:tc>
      </w:tr>
      <w:tr w:rsidR="004B5FEE" w:rsidRPr="004535A6" w14:paraId="4178207A" w14:textId="77777777" w:rsidTr="008B7DCA">
        <w:tc>
          <w:tcPr>
            <w:tcW w:w="7195" w:type="dxa"/>
          </w:tcPr>
          <w:p w14:paraId="487833D2"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Size of lobby area? (in metres)</w:t>
            </w:r>
          </w:p>
        </w:tc>
        <w:tc>
          <w:tcPr>
            <w:tcW w:w="2541" w:type="dxa"/>
          </w:tcPr>
          <w:p w14:paraId="4668E724" w14:textId="77777777" w:rsidR="004B5FEE" w:rsidRPr="004535A6" w:rsidRDefault="004B5FEE" w:rsidP="005D0CCD">
            <w:pPr>
              <w:tabs>
                <w:tab w:val="left" w:pos="426"/>
              </w:tabs>
              <w:spacing w:before="120"/>
              <w:ind w:left="170"/>
              <w:rPr>
                <w:rFonts w:ascii="Calibri" w:hAnsi="Calibri" w:cs="Calibri"/>
              </w:rPr>
            </w:pPr>
          </w:p>
        </w:tc>
      </w:tr>
      <w:tr w:rsidR="004B5FEE" w:rsidRPr="004535A6" w14:paraId="0ACCD72A" w14:textId="77777777" w:rsidTr="005D0CCD">
        <w:tc>
          <w:tcPr>
            <w:tcW w:w="9736" w:type="dxa"/>
            <w:gridSpan w:val="2"/>
            <w:shd w:val="clear" w:color="auto" w:fill="D9D9D9" w:themeFill="background1" w:themeFillShade="D9"/>
          </w:tcPr>
          <w:p w14:paraId="3882BE57"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The most accessible lobby areas are large enough to easily accommodate access for someone using a wheelchair alongside another person.</w:t>
            </w:r>
          </w:p>
        </w:tc>
      </w:tr>
      <w:tr w:rsidR="004B5FEE" w:rsidRPr="004535A6" w14:paraId="3EC8696D" w14:textId="77777777" w:rsidTr="005D0CCD">
        <w:tc>
          <w:tcPr>
            <w:tcW w:w="9736" w:type="dxa"/>
            <w:gridSpan w:val="2"/>
          </w:tcPr>
          <w:p w14:paraId="6F672BA4" w14:textId="77777777" w:rsidR="004B5FEE" w:rsidRDefault="004B5FEE" w:rsidP="005D0CCD">
            <w:pPr>
              <w:spacing w:before="120"/>
              <w:rPr>
                <w:rFonts w:ascii="Calibri" w:hAnsi="Calibri" w:cs="Calibri"/>
              </w:rPr>
            </w:pPr>
            <w:r w:rsidRPr="004535A6">
              <w:rPr>
                <w:rFonts w:ascii="Calibri" w:hAnsi="Calibri" w:cs="Calibri"/>
              </w:rPr>
              <w:t>Response:</w:t>
            </w:r>
          </w:p>
          <w:p w14:paraId="6402140F" w14:textId="77777777" w:rsidR="004B5FEE" w:rsidRPr="004535A6" w:rsidRDefault="004B5FEE" w:rsidP="005D0CCD">
            <w:pPr>
              <w:tabs>
                <w:tab w:val="left" w:pos="426"/>
              </w:tabs>
              <w:spacing w:before="120"/>
              <w:ind w:left="170"/>
              <w:rPr>
                <w:rFonts w:ascii="Calibri" w:hAnsi="Calibri" w:cs="Calibri"/>
              </w:rPr>
            </w:pPr>
          </w:p>
        </w:tc>
      </w:tr>
      <w:tr w:rsidR="004B5FEE" w:rsidRPr="004535A6" w14:paraId="0B419EE6" w14:textId="77777777" w:rsidTr="002A61A9">
        <w:tc>
          <w:tcPr>
            <w:tcW w:w="7195" w:type="dxa"/>
            <w:tcBorders>
              <w:bottom w:val="single" w:sz="4" w:space="0" w:color="auto"/>
            </w:tcBorders>
          </w:tcPr>
          <w:p w14:paraId="29815C9B" w14:textId="6DEF234E" w:rsidR="004B5FEE" w:rsidRPr="004535A6" w:rsidRDefault="004B5FEE" w:rsidP="005D0CCD">
            <w:pPr>
              <w:tabs>
                <w:tab w:val="left" w:pos="426"/>
              </w:tabs>
              <w:spacing w:before="120"/>
              <w:rPr>
                <w:rFonts w:ascii="Calibri" w:hAnsi="Calibri" w:cs="Calibri"/>
              </w:rPr>
            </w:pPr>
            <w:r w:rsidRPr="004535A6">
              <w:rPr>
                <w:rFonts w:ascii="Calibri" w:hAnsi="Calibri" w:cs="Calibri"/>
              </w:rPr>
              <w:t>Is the lobby and reception lighting consistent and even (reflected downward</w:t>
            </w:r>
            <w:r w:rsidR="00C921A4">
              <w:rPr>
                <w:rFonts w:ascii="Calibri" w:hAnsi="Calibri" w:cs="Calibri"/>
              </w:rPr>
              <w:t>;</w:t>
            </w:r>
            <w:r w:rsidRPr="004535A6">
              <w:rPr>
                <w:rFonts w:ascii="Calibri" w:hAnsi="Calibri" w:cs="Calibri"/>
              </w:rPr>
              <w:t xml:space="preserve"> without pooling or producing glare)? </w:t>
            </w:r>
          </w:p>
        </w:tc>
        <w:tc>
          <w:tcPr>
            <w:tcW w:w="2541" w:type="dxa"/>
            <w:tcBorders>
              <w:bottom w:val="single" w:sz="4" w:space="0" w:color="auto"/>
            </w:tcBorders>
          </w:tcPr>
          <w:p w14:paraId="62CA7043" w14:textId="77777777" w:rsidR="004B5FEE" w:rsidRPr="004535A6" w:rsidRDefault="004B5FEE" w:rsidP="005D0CCD">
            <w:pPr>
              <w:tabs>
                <w:tab w:val="left" w:pos="426"/>
              </w:tabs>
              <w:spacing w:before="120"/>
              <w:ind w:left="170"/>
              <w:rPr>
                <w:rFonts w:ascii="Calibri" w:hAnsi="Calibri" w:cs="Calibri"/>
              </w:rPr>
            </w:pPr>
          </w:p>
        </w:tc>
      </w:tr>
      <w:tr w:rsidR="004B5FEE" w:rsidRPr="004535A6" w14:paraId="245F015C" w14:textId="77777777" w:rsidTr="002A61A9">
        <w:tc>
          <w:tcPr>
            <w:tcW w:w="9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987E3"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This ensures maximum visibility for everyone using the lobby area.</w:t>
            </w:r>
          </w:p>
        </w:tc>
      </w:tr>
      <w:tr w:rsidR="004B5FEE" w:rsidRPr="004535A6" w14:paraId="48474B5C" w14:textId="77777777" w:rsidTr="002A61A9">
        <w:tc>
          <w:tcPr>
            <w:tcW w:w="9736" w:type="dxa"/>
            <w:gridSpan w:val="2"/>
            <w:tcBorders>
              <w:top w:val="single" w:sz="4" w:space="0" w:color="auto"/>
            </w:tcBorders>
          </w:tcPr>
          <w:p w14:paraId="6BC3DD7E" w14:textId="77777777" w:rsidR="004B5FEE" w:rsidRDefault="004B5FEE" w:rsidP="005D0CCD">
            <w:pPr>
              <w:spacing w:before="120"/>
              <w:rPr>
                <w:rFonts w:ascii="Calibri" w:hAnsi="Calibri" w:cs="Calibri"/>
              </w:rPr>
            </w:pPr>
            <w:r w:rsidRPr="004535A6">
              <w:rPr>
                <w:rFonts w:ascii="Calibri" w:hAnsi="Calibri" w:cs="Calibri"/>
              </w:rPr>
              <w:lastRenderedPageBreak/>
              <w:t>Response:</w:t>
            </w:r>
          </w:p>
          <w:p w14:paraId="54151805" w14:textId="77777777" w:rsidR="004B5FEE" w:rsidRPr="004535A6" w:rsidRDefault="004B5FEE" w:rsidP="005D0CCD">
            <w:pPr>
              <w:tabs>
                <w:tab w:val="left" w:pos="426"/>
              </w:tabs>
              <w:spacing w:before="120"/>
              <w:ind w:left="170"/>
              <w:rPr>
                <w:rFonts w:ascii="Calibri" w:hAnsi="Calibri" w:cs="Calibri"/>
              </w:rPr>
            </w:pPr>
          </w:p>
        </w:tc>
      </w:tr>
      <w:tr w:rsidR="004B5FEE" w:rsidRPr="004535A6" w14:paraId="0FCAC2ED" w14:textId="77777777" w:rsidTr="008B7DCA">
        <w:tc>
          <w:tcPr>
            <w:tcW w:w="7195" w:type="dxa"/>
          </w:tcPr>
          <w:p w14:paraId="7222F690"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Is there a clear and continuous pathway from the entrance door to the reception counter?</w:t>
            </w:r>
          </w:p>
        </w:tc>
        <w:tc>
          <w:tcPr>
            <w:tcW w:w="2541" w:type="dxa"/>
          </w:tcPr>
          <w:p w14:paraId="4259F2F7" w14:textId="77777777" w:rsidR="004B5FEE" w:rsidRPr="004535A6" w:rsidRDefault="004B5FEE" w:rsidP="005D0CCD">
            <w:pPr>
              <w:tabs>
                <w:tab w:val="left" w:pos="426"/>
              </w:tabs>
              <w:spacing w:before="120"/>
              <w:ind w:left="170"/>
              <w:rPr>
                <w:rFonts w:ascii="Calibri" w:hAnsi="Calibri" w:cs="Calibri"/>
              </w:rPr>
            </w:pPr>
          </w:p>
        </w:tc>
      </w:tr>
      <w:tr w:rsidR="004B5FEE" w:rsidRPr="004535A6" w14:paraId="7C426348" w14:textId="77777777" w:rsidTr="005D0CCD">
        <w:tc>
          <w:tcPr>
            <w:tcW w:w="9736" w:type="dxa"/>
            <w:gridSpan w:val="2"/>
            <w:shd w:val="clear" w:color="auto" w:fill="D9D9D9" w:themeFill="background1" w:themeFillShade="D9"/>
          </w:tcPr>
          <w:p w14:paraId="70A4C5BA" w14:textId="61A73D82" w:rsidR="004B5FEE" w:rsidRPr="004535A6" w:rsidRDefault="004B5FEE" w:rsidP="005D0CCD">
            <w:pPr>
              <w:tabs>
                <w:tab w:val="left" w:pos="426"/>
              </w:tabs>
              <w:spacing w:before="120"/>
              <w:rPr>
                <w:rFonts w:ascii="Calibri" w:hAnsi="Calibri" w:cs="Calibri"/>
              </w:rPr>
            </w:pPr>
            <w:r w:rsidRPr="004535A6">
              <w:rPr>
                <w:rFonts w:ascii="Calibri" w:hAnsi="Calibri" w:cs="Calibri"/>
              </w:rPr>
              <w:t xml:space="preserve">Clear and continuous pathways facilitate access to the reception area without the need to navigate around furniture and other </w:t>
            </w:r>
            <w:proofErr w:type="gramStart"/>
            <w:r w:rsidRPr="004535A6">
              <w:rPr>
                <w:rFonts w:ascii="Calibri" w:hAnsi="Calibri" w:cs="Calibri"/>
              </w:rPr>
              <w:t>items, and</w:t>
            </w:r>
            <w:proofErr w:type="gramEnd"/>
            <w:r w:rsidRPr="004535A6">
              <w:rPr>
                <w:rFonts w:ascii="Calibri" w:hAnsi="Calibri" w:cs="Calibri"/>
              </w:rPr>
              <w:t xml:space="preserve"> are wide enough to accommodate the passage of a wheelchair and another person travelling alongside. Rearrangement of furniture in reception areas and the removal of unnecessary items can create continuous paths of travel in the short-term if space is limited.</w:t>
            </w:r>
          </w:p>
        </w:tc>
      </w:tr>
      <w:tr w:rsidR="004B5FEE" w:rsidRPr="004535A6" w14:paraId="036704BC" w14:textId="77777777" w:rsidTr="005D0CCD">
        <w:tc>
          <w:tcPr>
            <w:tcW w:w="9736" w:type="dxa"/>
            <w:gridSpan w:val="2"/>
          </w:tcPr>
          <w:p w14:paraId="19E7C4F5" w14:textId="77777777" w:rsidR="004B5FEE" w:rsidRDefault="004B5FEE" w:rsidP="005D0CCD">
            <w:pPr>
              <w:spacing w:before="120"/>
              <w:rPr>
                <w:rFonts w:ascii="Calibri" w:hAnsi="Calibri" w:cs="Calibri"/>
              </w:rPr>
            </w:pPr>
            <w:r w:rsidRPr="004535A6">
              <w:rPr>
                <w:rFonts w:ascii="Calibri" w:hAnsi="Calibri" w:cs="Calibri"/>
              </w:rPr>
              <w:t>Response:</w:t>
            </w:r>
          </w:p>
          <w:p w14:paraId="6B7BB1F5" w14:textId="77777777" w:rsidR="004B5FEE" w:rsidRPr="004535A6" w:rsidRDefault="004B5FEE" w:rsidP="005D0CCD">
            <w:pPr>
              <w:tabs>
                <w:tab w:val="left" w:pos="426"/>
              </w:tabs>
              <w:spacing w:before="120"/>
              <w:ind w:left="170"/>
              <w:rPr>
                <w:rFonts w:ascii="Calibri" w:hAnsi="Calibri" w:cs="Calibri"/>
              </w:rPr>
            </w:pPr>
          </w:p>
        </w:tc>
      </w:tr>
      <w:tr w:rsidR="004B5FEE" w:rsidRPr="004535A6" w14:paraId="49CBBDD6" w14:textId="77777777" w:rsidTr="008B7DCA">
        <w:tc>
          <w:tcPr>
            <w:tcW w:w="7195" w:type="dxa"/>
          </w:tcPr>
          <w:p w14:paraId="222D562C"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How is the location of the reception counter indicated?</w:t>
            </w:r>
          </w:p>
        </w:tc>
        <w:tc>
          <w:tcPr>
            <w:tcW w:w="2541" w:type="dxa"/>
          </w:tcPr>
          <w:p w14:paraId="404FA077" w14:textId="77777777" w:rsidR="004B5FEE" w:rsidRPr="004535A6" w:rsidRDefault="004B5FEE" w:rsidP="005D0CCD">
            <w:pPr>
              <w:tabs>
                <w:tab w:val="left" w:pos="426"/>
              </w:tabs>
              <w:spacing w:before="120"/>
              <w:ind w:left="170"/>
              <w:rPr>
                <w:rFonts w:ascii="Calibri" w:hAnsi="Calibri" w:cs="Calibri"/>
              </w:rPr>
            </w:pPr>
          </w:p>
        </w:tc>
      </w:tr>
      <w:tr w:rsidR="004B5FEE" w:rsidRPr="004535A6" w14:paraId="03E54928" w14:textId="77777777" w:rsidTr="005D0CCD">
        <w:tc>
          <w:tcPr>
            <w:tcW w:w="9736" w:type="dxa"/>
            <w:gridSpan w:val="2"/>
            <w:shd w:val="clear" w:color="auto" w:fill="D9D9D9" w:themeFill="background1" w:themeFillShade="D9"/>
          </w:tcPr>
          <w:p w14:paraId="283E94F5" w14:textId="77777777" w:rsidR="004B5FEE" w:rsidRPr="004535A6" w:rsidRDefault="004B5FEE" w:rsidP="005D0CCD">
            <w:pPr>
              <w:tabs>
                <w:tab w:val="left" w:pos="426"/>
              </w:tabs>
              <w:spacing w:before="120"/>
              <w:ind w:left="170" w:hanging="170"/>
              <w:rPr>
                <w:rFonts w:ascii="Calibri" w:hAnsi="Calibri" w:cs="Calibri"/>
              </w:rPr>
            </w:pPr>
            <w:r w:rsidRPr="004535A6">
              <w:rPr>
                <w:rFonts w:ascii="Calibri" w:hAnsi="Calibri" w:cs="Calibri"/>
              </w:rPr>
              <w:t>Clear signage ensures that the reception counter is easily located.</w:t>
            </w:r>
          </w:p>
        </w:tc>
      </w:tr>
      <w:tr w:rsidR="004B5FEE" w:rsidRPr="004535A6" w14:paraId="50AE3D7A" w14:textId="77777777" w:rsidTr="008B7DCA">
        <w:tc>
          <w:tcPr>
            <w:tcW w:w="7195" w:type="dxa"/>
          </w:tcPr>
          <w:p w14:paraId="0E344852" w14:textId="77777777" w:rsidR="004B5FEE" w:rsidRDefault="004B5FEE" w:rsidP="005D0CCD">
            <w:pPr>
              <w:spacing w:before="120"/>
              <w:rPr>
                <w:rFonts w:ascii="Calibri" w:hAnsi="Calibri" w:cs="Calibri"/>
              </w:rPr>
            </w:pPr>
            <w:r w:rsidRPr="004535A6">
              <w:rPr>
                <w:rFonts w:ascii="Calibri" w:hAnsi="Calibri" w:cs="Calibri"/>
              </w:rPr>
              <w:t>Response:</w:t>
            </w:r>
          </w:p>
          <w:p w14:paraId="06C71B87" w14:textId="77777777" w:rsidR="004B5FEE" w:rsidRPr="004535A6" w:rsidRDefault="004B5FEE" w:rsidP="005D0CCD">
            <w:pPr>
              <w:tabs>
                <w:tab w:val="left" w:pos="426"/>
              </w:tabs>
              <w:spacing w:before="120"/>
              <w:rPr>
                <w:rFonts w:ascii="Calibri" w:hAnsi="Calibri" w:cs="Calibri"/>
              </w:rPr>
            </w:pPr>
          </w:p>
        </w:tc>
        <w:tc>
          <w:tcPr>
            <w:tcW w:w="2541" w:type="dxa"/>
          </w:tcPr>
          <w:p w14:paraId="1F77C431" w14:textId="77777777" w:rsidR="004B5FEE" w:rsidRPr="004535A6" w:rsidRDefault="004B5FEE" w:rsidP="005D0CCD">
            <w:pPr>
              <w:tabs>
                <w:tab w:val="left" w:pos="426"/>
              </w:tabs>
              <w:spacing w:before="120"/>
              <w:ind w:left="170"/>
              <w:rPr>
                <w:rFonts w:ascii="Calibri" w:hAnsi="Calibri" w:cs="Calibri"/>
              </w:rPr>
            </w:pPr>
          </w:p>
        </w:tc>
      </w:tr>
      <w:tr w:rsidR="004B5FEE" w:rsidRPr="004535A6" w14:paraId="37616B1F" w14:textId="77777777" w:rsidTr="008B7DCA">
        <w:tc>
          <w:tcPr>
            <w:tcW w:w="7195" w:type="dxa"/>
          </w:tcPr>
          <w:p w14:paraId="47795B92"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What is the height of the reception desk?</w:t>
            </w:r>
          </w:p>
        </w:tc>
        <w:tc>
          <w:tcPr>
            <w:tcW w:w="2541" w:type="dxa"/>
          </w:tcPr>
          <w:p w14:paraId="15BAB93F" w14:textId="77777777" w:rsidR="004B5FEE" w:rsidRPr="004535A6" w:rsidRDefault="004B5FEE" w:rsidP="005D0CCD">
            <w:pPr>
              <w:tabs>
                <w:tab w:val="left" w:pos="426"/>
              </w:tabs>
              <w:spacing w:before="120"/>
              <w:ind w:left="170"/>
              <w:rPr>
                <w:rFonts w:ascii="Calibri" w:hAnsi="Calibri" w:cs="Calibri"/>
              </w:rPr>
            </w:pPr>
          </w:p>
        </w:tc>
      </w:tr>
      <w:tr w:rsidR="004B5FEE" w:rsidRPr="004535A6" w14:paraId="44D067FB" w14:textId="77777777" w:rsidTr="005D0CCD">
        <w:tc>
          <w:tcPr>
            <w:tcW w:w="9736" w:type="dxa"/>
            <w:gridSpan w:val="2"/>
            <w:shd w:val="clear" w:color="auto" w:fill="D9D9D9" w:themeFill="background1" w:themeFillShade="D9"/>
          </w:tcPr>
          <w:p w14:paraId="2F5757CF"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Accessibility is best achieved if the reception counter can be reached by someone in a sitting or standing position.</w:t>
            </w:r>
          </w:p>
        </w:tc>
      </w:tr>
      <w:tr w:rsidR="004B5FEE" w:rsidRPr="004535A6" w14:paraId="00FDECEF" w14:textId="77777777" w:rsidTr="005D0CCD">
        <w:tc>
          <w:tcPr>
            <w:tcW w:w="9736" w:type="dxa"/>
            <w:gridSpan w:val="2"/>
          </w:tcPr>
          <w:p w14:paraId="0A31E27A" w14:textId="77777777" w:rsidR="004B5FEE" w:rsidRDefault="004B5FEE" w:rsidP="005D0CCD">
            <w:pPr>
              <w:spacing w:before="120"/>
              <w:rPr>
                <w:rFonts w:ascii="Calibri" w:hAnsi="Calibri" w:cs="Calibri"/>
              </w:rPr>
            </w:pPr>
            <w:r w:rsidRPr="004535A6">
              <w:rPr>
                <w:rFonts w:ascii="Calibri" w:hAnsi="Calibri" w:cs="Calibri"/>
              </w:rPr>
              <w:t>Response:</w:t>
            </w:r>
          </w:p>
          <w:p w14:paraId="36CA1114" w14:textId="77777777" w:rsidR="004B5FEE" w:rsidRPr="004535A6" w:rsidRDefault="004B5FEE" w:rsidP="005D0CCD">
            <w:pPr>
              <w:tabs>
                <w:tab w:val="left" w:pos="426"/>
              </w:tabs>
              <w:spacing w:before="120"/>
              <w:ind w:left="170"/>
              <w:rPr>
                <w:rFonts w:ascii="Calibri" w:hAnsi="Calibri" w:cs="Calibri"/>
              </w:rPr>
            </w:pPr>
          </w:p>
        </w:tc>
      </w:tr>
      <w:tr w:rsidR="004B5FEE" w:rsidRPr="004535A6" w14:paraId="48003980" w14:textId="77777777" w:rsidTr="008B7DCA">
        <w:tc>
          <w:tcPr>
            <w:tcW w:w="7195" w:type="dxa"/>
          </w:tcPr>
          <w:p w14:paraId="287736F0"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By whom and when is reception staffed?</w:t>
            </w:r>
          </w:p>
        </w:tc>
        <w:tc>
          <w:tcPr>
            <w:tcW w:w="2541" w:type="dxa"/>
          </w:tcPr>
          <w:p w14:paraId="00834BD1" w14:textId="77777777" w:rsidR="004B5FEE" w:rsidRPr="004535A6" w:rsidRDefault="004B5FEE" w:rsidP="005D0CCD">
            <w:pPr>
              <w:tabs>
                <w:tab w:val="left" w:pos="426"/>
              </w:tabs>
              <w:spacing w:before="120"/>
              <w:ind w:left="170"/>
              <w:rPr>
                <w:rFonts w:ascii="Calibri" w:hAnsi="Calibri" w:cs="Calibri"/>
              </w:rPr>
            </w:pPr>
          </w:p>
        </w:tc>
      </w:tr>
      <w:tr w:rsidR="004B5FEE" w:rsidRPr="004535A6" w14:paraId="6F5E2927" w14:textId="77777777" w:rsidTr="005D0CCD">
        <w:tc>
          <w:tcPr>
            <w:tcW w:w="9736" w:type="dxa"/>
            <w:gridSpan w:val="2"/>
            <w:shd w:val="clear" w:color="auto" w:fill="D9D9D9" w:themeFill="background1" w:themeFillShade="D9"/>
          </w:tcPr>
          <w:p w14:paraId="4BAAB7E8" w14:textId="10DB9155" w:rsidR="004B5FEE" w:rsidRPr="004535A6" w:rsidRDefault="004B5FEE" w:rsidP="005D0CCD">
            <w:pPr>
              <w:tabs>
                <w:tab w:val="left" w:pos="426"/>
              </w:tabs>
              <w:spacing w:before="120"/>
              <w:rPr>
                <w:rFonts w:ascii="Calibri" w:hAnsi="Calibri" w:cs="Calibri"/>
              </w:rPr>
            </w:pPr>
            <w:r w:rsidRPr="004535A6">
              <w:rPr>
                <w:rFonts w:ascii="Calibri" w:hAnsi="Calibri" w:cs="Calibri"/>
              </w:rPr>
              <w:t>Best access is achieved through the availability of a staffed reception area, from which users of your building can receive direction and assistance to locate relevant areas of your building. This is particularly important when hosting events. A temporary reception area can be created for the duration of your event if one is not usually present in the building.</w:t>
            </w:r>
          </w:p>
        </w:tc>
      </w:tr>
      <w:tr w:rsidR="004B5FEE" w:rsidRPr="004535A6" w14:paraId="70FBFC98" w14:textId="77777777" w:rsidTr="005D0CCD">
        <w:tc>
          <w:tcPr>
            <w:tcW w:w="9736" w:type="dxa"/>
            <w:gridSpan w:val="2"/>
          </w:tcPr>
          <w:p w14:paraId="0A5DB043" w14:textId="77777777" w:rsidR="004B5FEE" w:rsidRDefault="004B5FEE" w:rsidP="005D0CCD">
            <w:pPr>
              <w:spacing w:before="120"/>
              <w:rPr>
                <w:rFonts w:ascii="Calibri" w:hAnsi="Calibri" w:cs="Calibri"/>
              </w:rPr>
            </w:pPr>
            <w:r w:rsidRPr="004535A6">
              <w:rPr>
                <w:rFonts w:ascii="Calibri" w:hAnsi="Calibri" w:cs="Calibri"/>
              </w:rPr>
              <w:t>Response:</w:t>
            </w:r>
          </w:p>
          <w:p w14:paraId="473FADD1" w14:textId="77777777" w:rsidR="004B5FEE" w:rsidRPr="004535A6" w:rsidRDefault="004B5FEE" w:rsidP="005D0CCD">
            <w:pPr>
              <w:tabs>
                <w:tab w:val="left" w:pos="426"/>
              </w:tabs>
              <w:spacing w:before="120"/>
              <w:ind w:left="170"/>
              <w:rPr>
                <w:rFonts w:ascii="Calibri" w:hAnsi="Calibri" w:cs="Calibri"/>
              </w:rPr>
            </w:pPr>
          </w:p>
        </w:tc>
      </w:tr>
      <w:tr w:rsidR="004B5FEE" w:rsidRPr="004535A6" w14:paraId="24E32D33" w14:textId="77777777" w:rsidTr="008B7DCA">
        <w:tc>
          <w:tcPr>
            <w:tcW w:w="7195" w:type="dxa"/>
          </w:tcPr>
          <w:p w14:paraId="0E1652FA"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What sign-in/security procedures are used?</w:t>
            </w:r>
          </w:p>
        </w:tc>
        <w:tc>
          <w:tcPr>
            <w:tcW w:w="2541" w:type="dxa"/>
          </w:tcPr>
          <w:p w14:paraId="0979E8C3" w14:textId="77777777" w:rsidR="004B5FEE" w:rsidRPr="004535A6" w:rsidRDefault="004B5FEE" w:rsidP="005D0CCD">
            <w:pPr>
              <w:tabs>
                <w:tab w:val="left" w:pos="426"/>
              </w:tabs>
              <w:spacing w:before="120"/>
              <w:ind w:left="170"/>
              <w:rPr>
                <w:rFonts w:ascii="Calibri" w:hAnsi="Calibri" w:cs="Calibri"/>
              </w:rPr>
            </w:pPr>
          </w:p>
        </w:tc>
      </w:tr>
      <w:tr w:rsidR="004B5FEE" w:rsidRPr="004535A6" w14:paraId="3B2621DC" w14:textId="77777777" w:rsidTr="005D0CCD">
        <w:tc>
          <w:tcPr>
            <w:tcW w:w="9736" w:type="dxa"/>
            <w:gridSpan w:val="2"/>
            <w:shd w:val="clear" w:color="auto" w:fill="D9D9D9" w:themeFill="background1" w:themeFillShade="D9"/>
          </w:tcPr>
          <w:p w14:paraId="3A49C562" w14:textId="4166C6D7" w:rsidR="004B5FEE" w:rsidRPr="004535A6" w:rsidRDefault="004B5FEE" w:rsidP="005D0CCD">
            <w:pPr>
              <w:tabs>
                <w:tab w:val="left" w:pos="426"/>
              </w:tabs>
              <w:spacing w:before="120"/>
              <w:rPr>
                <w:rFonts w:ascii="Calibri" w:hAnsi="Calibri" w:cs="Calibri"/>
              </w:rPr>
            </w:pPr>
            <w:r w:rsidRPr="004535A6">
              <w:rPr>
                <w:rFonts w:ascii="Calibri" w:hAnsi="Calibri" w:cs="Calibri"/>
              </w:rPr>
              <w:t>Best accessibility is achieved when a staff member is available to assist with sign-in/security procedures where applicable, as these may pose barriers for people with a range of disabilities. This is especially relevant when hosting events, when emergency procedures require an accurate inventory of all building occupants. This is not achieved through reliance on the assistance of other event participants.</w:t>
            </w:r>
          </w:p>
        </w:tc>
      </w:tr>
      <w:tr w:rsidR="004B5FEE" w:rsidRPr="004535A6" w14:paraId="203A0BE2" w14:textId="77777777" w:rsidTr="005D0CCD">
        <w:tc>
          <w:tcPr>
            <w:tcW w:w="9736" w:type="dxa"/>
            <w:gridSpan w:val="2"/>
          </w:tcPr>
          <w:p w14:paraId="40EDC5EB" w14:textId="77777777" w:rsidR="004B5FEE" w:rsidRDefault="004B5FEE" w:rsidP="005D0CCD">
            <w:pPr>
              <w:spacing w:before="120"/>
              <w:rPr>
                <w:rFonts w:ascii="Calibri" w:hAnsi="Calibri" w:cs="Calibri"/>
              </w:rPr>
            </w:pPr>
            <w:r w:rsidRPr="004535A6">
              <w:rPr>
                <w:rFonts w:ascii="Calibri" w:hAnsi="Calibri" w:cs="Calibri"/>
              </w:rPr>
              <w:t>Response:</w:t>
            </w:r>
          </w:p>
          <w:p w14:paraId="7CCEAFC5" w14:textId="77777777" w:rsidR="004B5FEE" w:rsidRPr="004535A6" w:rsidRDefault="004B5FEE" w:rsidP="005D0CCD">
            <w:pPr>
              <w:tabs>
                <w:tab w:val="left" w:pos="426"/>
              </w:tabs>
              <w:spacing w:before="120"/>
              <w:ind w:left="170"/>
              <w:rPr>
                <w:rFonts w:ascii="Calibri" w:hAnsi="Calibri" w:cs="Calibri"/>
              </w:rPr>
            </w:pPr>
          </w:p>
        </w:tc>
      </w:tr>
      <w:tr w:rsidR="004B5FEE" w:rsidRPr="004535A6" w14:paraId="3809269D" w14:textId="77777777" w:rsidTr="008B7DCA">
        <w:tc>
          <w:tcPr>
            <w:tcW w:w="7195" w:type="dxa"/>
          </w:tcPr>
          <w:p w14:paraId="6DE6A58E" w14:textId="77777777" w:rsidR="004B5FEE" w:rsidRPr="004535A6" w:rsidRDefault="004B5FEE" w:rsidP="005D0CCD">
            <w:pPr>
              <w:tabs>
                <w:tab w:val="left" w:pos="426"/>
              </w:tabs>
              <w:spacing w:before="120"/>
              <w:rPr>
                <w:rFonts w:ascii="Calibri" w:hAnsi="Calibri" w:cs="Calibri"/>
              </w:rPr>
            </w:pPr>
            <w:r w:rsidRPr="004535A6">
              <w:rPr>
                <w:rFonts w:ascii="Calibri" w:hAnsi="Calibri" w:cs="Calibri"/>
              </w:rPr>
              <w:t>Where is seating in reception area located?</w:t>
            </w:r>
          </w:p>
        </w:tc>
        <w:tc>
          <w:tcPr>
            <w:tcW w:w="2541" w:type="dxa"/>
          </w:tcPr>
          <w:p w14:paraId="446A2B3A" w14:textId="77777777" w:rsidR="004B5FEE" w:rsidRPr="004535A6" w:rsidRDefault="004B5FEE" w:rsidP="005D0CCD">
            <w:pPr>
              <w:tabs>
                <w:tab w:val="left" w:pos="426"/>
              </w:tabs>
              <w:spacing w:before="120"/>
              <w:ind w:left="170"/>
              <w:rPr>
                <w:rFonts w:ascii="Calibri" w:hAnsi="Calibri" w:cs="Calibri"/>
              </w:rPr>
            </w:pPr>
          </w:p>
        </w:tc>
      </w:tr>
      <w:tr w:rsidR="004B5FEE" w:rsidRPr="004535A6" w14:paraId="76B4469F" w14:textId="77777777" w:rsidTr="005D0CCD">
        <w:tc>
          <w:tcPr>
            <w:tcW w:w="9736" w:type="dxa"/>
            <w:gridSpan w:val="2"/>
            <w:shd w:val="clear" w:color="auto" w:fill="D9D9D9" w:themeFill="background1" w:themeFillShade="D9"/>
          </w:tcPr>
          <w:p w14:paraId="521B2702" w14:textId="1EE6FEF9" w:rsidR="004B5FEE" w:rsidRPr="004535A6" w:rsidRDefault="004B5FEE" w:rsidP="005D0CCD">
            <w:pPr>
              <w:tabs>
                <w:tab w:val="left" w:pos="426"/>
              </w:tabs>
              <w:spacing w:before="120"/>
              <w:rPr>
                <w:rFonts w:ascii="Calibri" w:hAnsi="Calibri" w:cs="Calibri"/>
              </w:rPr>
            </w:pPr>
            <w:r w:rsidRPr="004535A6">
              <w:rPr>
                <w:rFonts w:ascii="Calibri" w:hAnsi="Calibri" w:cs="Calibri"/>
              </w:rPr>
              <w:t>Seating areas are most accessible when they can be reached via a clear and unobstructed path of travel, with space to allow the entry of a wheelchair</w:t>
            </w:r>
            <w:r w:rsidR="004F47F4">
              <w:rPr>
                <w:rFonts w:ascii="Calibri" w:hAnsi="Calibri" w:cs="Calibri"/>
              </w:rPr>
              <w:t>.</w:t>
            </w:r>
            <w:r w:rsidRPr="004535A6">
              <w:rPr>
                <w:rFonts w:ascii="Calibri" w:hAnsi="Calibri" w:cs="Calibri"/>
              </w:rPr>
              <w:t xml:space="preserve"> </w:t>
            </w:r>
          </w:p>
        </w:tc>
      </w:tr>
      <w:tr w:rsidR="004B5FEE" w:rsidRPr="004535A6" w14:paraId="2C695DE8" w14:textId="77777777" w:rsidTr="005D0CCD">
        <w:tc>
          <w:tcPr>
            <w:tcW w:w="9736" w:type="dxa"/>
            <w:gridSpan w:val="2"/>
          </w:tcPr>
          <w:p w14:paraId="7D064C3A" w14:textId="77777777" w:rsidR="004B5FEE" w:rsidRDefault="004B5FEE" w:rsidP="005D0CCD">
            <w:pPr>
              <w:spacing w:before="120"/>
              <w:rPr>
                <w:rFonts w:ascii="Calibri" w:hAnsi="Calibri" w:cs="Calibri"/>
              </w:rPr>
            </w:pPr>
            <w:r w:rsidRPr="004535A6">
              <w:rPr>
                <w:rFonts w:ascii="Calibri" w:hAnsi="Calibri" w:cs="Calibri"/>
              </w:rPr>
              <w:t>Response:</w:t>
            </w:r>
          </w:p>
          <w:p w14:paraId="75A740AF" w14:textId="77777777" w:rsidR="004B5FEE" w:rsidRPr="004535A6" w:rsidRDefault="004B5FEE" w:rsidP="005D0CCD">
            <w:pPr>
              <w:tabs>
                <w:tab w:val="left" w:pos="426"/>
              </w:tabs>
              <w:spacing w:before="120"/>
              <w:ind w:left="170"/>
              <w:rPr>
                <w:rFonts w:ascii="Calibri" w:hAnsi="Calibri" w:cs="Calibri"/>
              </w:rPr>
            </w:pPr>
          </w:p>
        </w:tc>
      </w:tr>
    </w:tbl>
    <w:p w14:paraId="3E9A40AB" w14:textId="15FE5FE3" w:rsidR="002243A9" w:rsidRDefault="004B5FEE" w:rsidP="004B5FEE">
      <w:pPr>
        <w:spacing w:before="120" w:after="0" w:line="240" w:lineRule="auto"/>
        <w:rPr>
          <w:rFonts w:ascii="Calibri" w:hAnsi="Calibri" w:cs="Calibri"/>
        </w:rPr>
      </w:pPr>
      <w:r w:rsidRPr="004535A6">
        <w:rPr>
          <w:rFonts w:ascii="Calibri" w:hAnsi="Calibri" w:cs="Calibri"/>
        </w:rPr>
        <w:lastRenderedPageBreak/>
        <w:t>Further technical advice can be found at</w:t>
      </w:r>
      <w:r w:rsidR="004F47F4">
        <w:rPr>
          <w:rFonts w:ascii="Calibri" w:hAnsi="Calibri" w:cs="Calibri"/>
        </w:rPr>
        <w:t xml:space="preserve"> </w:t>
      </w:r>
      <w:hyperlink r:id="rId22" w:history="1">
        <w:r w:rsidRPr="00EE3768">
          <w:rPr>
            <w:rStyle w:val="Lienhypertexte"/>
            <w:rFonts w:ascii="Calibri" w:hAnsi="Calibri" w:cs="Calibri"/>
          </w:rPr>
          <w:t>http://www.disability.wa.gov.au/Global/Publications/Understanding%20disability/Built%20environment/Access%20Resource%20Kit.doc</w:t>
        </w:r>
      </w:hyperlink>
      <w:r>
        <w:rPr>
          <w:rFonts w:ascii="Calibri" w:hAnsi="Calibri" w:cs="Calibri"/>
        </w:rPr>
        <w:t xml:space="preserve"> </w:t>
      </w:r>
      <w:r w:rsidRPr="004535A6">
        <w:rPr>
          <w:rFonts w:ascii="Calibri" w:hAnsi="Calibri" w:cs="Calibri"/>
        </w:rPr>
        <w:t xml:space="preserve">or within the resources listed at the end of this publication. Access is achieved when people with disabilities can safely enter a building or event space via the main </w:t>
      </w:r>
      <w:proofErr w:type="gramStart"/>
      <w:r w:rsidRPr="004535A6">
        <w:rPr>
          <w:rFonts w:ascii="Calibri" w:hAnsi="Calibri" w:cs="Calibri"/>
        </w:rPr>
        <w:t>entrance, and</w:t>
      </w:r>
      <w:proofErr w:type="gramEnd"/>
      <w:r w:rsidRPr="004535A6">
        <w:rPr>
          <w:rFonts w:ascii="Calibri" w:hAnsi="Calibri" w:cs="Calibri"/>
        </w:rPr>
        <w:t xml:space="preserve"> can smoothly and conveniently navigate the reception area and comply with sign-in or registration procedures.  The accessibility of entrances and reception areas is also an important consideration when planning events in buildings not controlled by your organisation, as these may pose unintended barriers for participants, limiting their public participation and independence.</w:t>
      </w:r>
    </w:p>
    <w:p w14:paraId="2E585A48" w14:textId="77777777" w:rsidR="00CF1CB7" w:rsidRPr="004535A6" w:rsidRDefault="00CF1CB7" w:rsidP="004B5FEE">
      <w:pPr>
        <w:spacing w:before="120" w:after="0" w:line="240" w:lineRule="auto"/>
        <w:rPr>
          <w:rFonts w:ascii="Calibri" w:hAnsi="Calibri" w:cs="Calibri"/>
        </w:rPr>
      </w:pPr>
    </w:p>
    <w:p w14:paraId="1561A674" w14:textId="77777777" w:rsidR="00CA5345" w:rsidRPr="002A61A9" w:rsidRDefault="00CA5345" w:rsidP="00A720D2">
      <w:pPr>
        <w:pStyle w:val="Titre3"/>
        <w:spacing w:before="120" w:line="240" w:lineRule="auto"/>
        <w:rPr>
          <w:rFonts w:asciiTheme="minorHAnsi" w:hAnsiTheme="minorHAnsi" w:cstheme="minorHAnsi"/>
          <w:color w:val="2E74B5" w:themeColor="accent1" w:themeShade="BF"/>
        </w:rPr>
      </w:pPr>
      <w:bookmarkStart w:id="45" w:name="_Toc56677075"/>
      <w:r w:rsidRPr="002A61A9">
        <w:rPr>
          <w:rFonts w:asciiTheme="minorHAnsi" w:hAnsiTheme="minorHAnsi" w:cstheme="minorHAnsi"/>
          <w:color w:val="2E74B5" w:themeColor="accent1" w:themeShade="BF"/>
        </w:rPr>
        <w:t>Summary</w:t>
      </w:r>
      <w:bookmarkEnd w:id="45"/>
    </w:p>
    <w:p w14:paraId="5E3B59FD" w14:textId="4077C6E4" w:rsidR="00CA5345" w:rsidRPr="004535A6" w:rsidRDefault="00FA3DA3" w:rsidP="00A720D2">
      <w:pPr>
        <w:spacing w:before="120" w:after="0" w:line="240" w:lineRule="auto"/>
        <w:rPr>
          <w:rFonts w:ascii="Calibri" w:hAnsi="Calibri" w:cs="Calibri"/>
        </w:rPr>
      </w:pPr>
      <w:r w:rsidRPr="00764E56">
        <w:t>The questions</w:t>
      </w:r>
      <w:r w:rsidR="008742FD">
        <w:t xml:space="preserve"> above</w:t>
      </w:r>
      <w:r w:rsidRPr="00764E56">
        <w:t xml:space="preserve"> relate to the accessibility of your building’s or event space’s lobby and reception area.</w:t>
      </w:r>
    </w:p>
    <w:p w14:paraId="25F82DB2" w14:textId="77777777" w:rsidR="00CA5345" w:rsidRDefault="00CA5345" w:rsidP="00A720D2"/>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4E16009A" w:rsidR="00CA5345" w:rsidRDefault="00CA5345" w:rsidP="00A720D2">
      <w:pPr>
        <w:spacing w:after="0"/>
      </w:pPr>
      <w:r>
        <w:t>Short Term</w:t>
      </w:r>
      <w:r w:rsidR="008742FD">
        <w:t>:</w:t>
      </w:r>
    </w:p>
    <w:p w14:paraId="0AEABEDF" w14:textId="77777777" w:rsidR="00CA5345" w:rsidRDefault="00CA5345" w:rsidP="00A720D2">
      <w:pPr>
        <w:spacing w:after="0"/>
      </w:pPr>
    </w:p>
    <w:p w14:paraId="1C386744" w14:textId="5CF643CC" w:rsidR="00CA5345" w:rsidRDefault="00CA5345" w:rsidP="006B48D2">
      <w:pPr>
        <w:tabs>
          <w:tab w:val="center" w:pos="4873"/>
        </w:tabs>
        <w:rPr>
          <w:rFonts w:ascii="Calibri" w:hAnsi="Calibri" w:cs="Calibri"/>
        </w:rPr>
      </w:pPr>
      <w:r>
        <w:t>Medium Term</w:t>
      </w:r>
      <w:r w:rsidR="008742FD">
        <w:t>:</w:t>
      </w:r>
      <w:r w:rsidR="006B48D2">
        <w:tab/>
      </w:r>
      <w:r>
        <w:br/>
      </w:r>
      <w:r>
        <w:br/>
        <w:t>Long term</w:t>
      </w:r>
      <w:r w:rsidR="008742FD">
        <w:t>:</w:t>
      </w:r>
    </w:p>
    <w:p w14:paraId="0E8C49B6" w14:textId="77777777" w:rsidR="00CF1CB7" w:rsidRDefault="00CF1CB7" w:rsidP="00CF1CB7">
      <w:pPr>
        <w:spacing w:before="120"/>
      </w:pPr>
    </w:p>
    <w:p w14:paraId="36F47E85" w14:textId="77777777" w:rsidR="00CF1CB7" w:rsidRPr="002A61A9" w:rsidRDefault="00CF1CB7" w:rsidP="00CF1CB7">
      <w:pPr>
        <w:pStyle w:val="Titre3"/>
        <w:rPr>
          <w:rFonts w:asciiTheme="minorHAnsi" w:hAnsiTheme="minorHAnsi" w:cstheme="minorHAnsi"/>
          <w:color w:val="2E74B5" w:themeColor="accent1" w:themeShade="BF"/>
        </w:rPr>
      </w:pPr>
      <w:bookmarkStart w:id="46" w:name="_Toc54709627"/>
      <w:bookmarkStart w:id="47" w:name="_Toc54767852"/>
      <w:bookmarkStart w:id="48" w:name="_Toc56677076"/>
      <w:r w:rsidRPr="002A61A9">
        <w:rPr>
          <w:rFonts w:asciiTheme="minorHAnsi" w:hAnsiTheme="minorHAnsi" w:cstheme="minorHAnsi"/>
          <w:color w:val="2E74B5" w:themeColor="accent1" w:themeShade="BF"/>
        </w:rPr>
        <w:t>Key Learning</w:t>
      </w:r>
      <w:bookmarkEnd w:id="46"/>
      <w:bookmarkEnd w:id="47"/>
      <w:bookmarkEnd w:id="48"/>
    </w:p>
    <w:p w14:paraId="5CA67F05" w14:textId="77777777" w:rsidR="00CF1CB7" w:rsidRDefault="00CF1CB7" w:rsidP="00CF1CB7">
      <w:pPr>
        <w:spacing w:before="120"/>
      </w:pPr>
    </w:p>
    <w:p w14:paraId="7A63C053" w14:textId="6E93D6A7" w:rsidR="00CF1CB7" w:rsidRDefault="00CF1CB7" w:rsidP="00CF1CB7">
      <w:r>
        <w:t>For (name of organisation)</w:t>
      </w:r>
      <w:r w:rsidR="008742FD">
        <w:t>:</w:t>
      </w:r>
    </w:p>
    <w:p w14:paraId="5FD6245D" w14:textId="77777777" w:rsidR="00CF1CB7" w:rsidRDefault="00CF1CB7" w:rsidP="00CF1CB7"/>
    <w:p w14:paraId="3B69CDFD" w14:textId="77777777" w:rsidR="008742FD" w:rsidRPr="008040D2" w:rsidRDefault="008742FD" w:rsidP="008742FD">
      <w:r>
        <w:t>For other partner organisations (if relevant):</w:t>
      </w: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6B59E34D" w14:textId="77777777" w:rsidR="008742FD" w:rsidRPr="004535A6" w:rsidRDefault="008742FD" w:rsidP="008742FD">
      <w:pPr>
        <w:pStyle w:val="Titre2"/>
        <w:spacing w:before="120" w:line="240" w:lineRule="auto"/>
        <w:rPr>
          <w:rFonts w:ascii="Calibri" w:hAnsi="Calibri" w:cs="Calibri"/>
        </w:rPr>
      </w:pPr>
      <w:bookmarkStart w:id="49" w:name="_Toc54772957"/>
      <w:bookmarkStart w:id="50" w:name="_Toc56677077"/>
      <w:r w:rsidRPr="004535A6">
        <w:rPr>
          <w:rFonts w:ascii="Calibri" w:hAnsi="Calibri" w:cs="Calibri"/>
        </w:rPr>
        <w:lastRenderedPageBreak/>
        <w:t>References</w:t>
      </w:r>
      <w:bookmarkEnd w:id="49"/>
      <w:bookmarkEnd w:id="50"/>
    </w:p>
    <w:p w14:paraId="7271E6A6"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16AA5AE1"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206D24DC"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162BCB77"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292948E8"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2FDEBA5C"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0EA0193E" w14:textId="77777777" w:rsidR="008742FD" w:rsidRPr="0072204B" w:rsidRDefault="008742FD" w:rsidP="008742FD">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2EF50D62"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0A0F2260" w14:textId="77777777" w:rsidR="008742FD" w:rsidRPr="00D718F8" w:rsidRDefault="008742FD" w:rsidP="008742FD">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01A67214" w14:textId="77777777" w:rsidR="008742FD" w:rsidRPr="00D718F8" w:rsidRDefault="008742FD" w:rsidP="008742FD">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69731B64" w14:textId="77777777" w:rsidR="008742FD" w:rsidRPr="0072204B" w:rsidRDefault="008742FD" w:rsidP="008742FD">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7FEEB905"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043CFD7D"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32D563E0"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3F655C72"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2E98539D"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24CC6B7A"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5143FF10"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389CD730"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73F82620"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&lt;</w:t>
      </w:r>
      <w:r w:rsidRPr="0072204B">
        <w:rPr>
          <w:rFonts w:ascii="Calibri" w:hAnsi="Calibri" w:cs="Calibri"/>
        </w:rPr>
        <w:t>https://www.legislation.gov.au/Details/F2010L00668</w:t>
      </w:r>
      <w:r>
        <w:rPr>
          <w:rFonts w:ascii="Calibri" w:hAnsi="Calibri" w:cs="Calibri"/>
        </w:rPr>
        <w:t xml:space="preserve">&gt;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11DB83BA"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2D5931D7"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51D9D295"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2C7070ED"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70A902EB" w14:textId="77777777" w:rsidR="008742FD" w:rsidRPr="0072204B" w:rsidRDefault="008742FD" w:rsidP="008742FD">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1EE1F4DF"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5D7BE075"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745ED359"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74DEFE48"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29CE013A"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5F11C54A"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47CAA311"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43DE8E54"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4C070D79"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Pr="0072204B">
        <w:rPr>
          <w:rFonts w:ascii="Calibri" w:hAnsi="Calibri" w:cs="Calibri"/>
          <w:i/>
        </w:rPr>
        <w:t xml:space="preserve"> Toilet</w:t>
      </w:r>
      <w:r>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459CB672" w14:textId="77777777" w:rsidR="008742FD" w:rsidRPr="0072204B" w:rsidRDefault="008742FD" w:rsidP="008742FD">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281004F0"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Pr="00160237">
        <w:rPr>
          <w:rFonts w:ascii="Calibri" w:hAnsi="Calibri" w:cs="Calibri"/>
        </w:rPr>
        <w:t>/</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099A36A5"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7C2F080B"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33547F5D"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4BA6E5E1"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5CCDD36F"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5F353C56"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1858A87B"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1C44261E" w14:textId="77777777" w:rsidR="008742FD" w:rsidRPr="0072204B" w:rsidRDefault="008742FD" w:rsidP="008742FD">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7D76FF8C" w14:textId="77777777" w:rsidR="008742FD" w:rsidRPr="0072204B" w:rsidRDefault="008742FD" w:rsidP="008742FD">
      <w:pPr>
        <w:spacing w:before="120" w:after="0" w:line="240" w:lineRule="auto"/>
        <w:rPr>
          <w:rFonts w:ascii="Calibri" w:hAnsi="Calibri" w:cs="Calibri"/>
        </w:rPr>
      </w:pPr>
      <w:proofErr w:type="spellStart"/>
      <w:r w:rsidRPr="001B1AEA">
        <w:rPr>
          <w:rFonts w:ascii="Calibri" w:hAnsi="Calibri" w:cs="Calibri"/>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593695F8"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1E242B87"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6CA6AB1D"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50FF65E7"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70F53E2F"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0B5F872A"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6AD113EC"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71F63161"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0CD13EC4"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5261A7AA"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076A0305" w14:textId="77777777" w:rsidR="008742FD" w:rsidRPr="0072204B" w:rsidRDefault="008742FD" w:rsidP="008742FD">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09029DA1" w14:textId="77777777" w:rsidR="008742FD" w:rsidRPr="0072204B" w:rsidRDefault="008742FD" w:rsidP="008742FD">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4465CF8D"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10D8388E"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51FE5B61" w14:textId="77777777" w:rsidR="008742FD" w:rsidRPr="0072204B" w:rsidRDefault="008742FD" w:rsidP="008742FD">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26047022" w14:textId="77777777" w:rsidR="008742FD" w:rsidRDefault="008742FD" w:rsidP="008742FD">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74059D6E" w14:textId="77777777" w:rsidR="008742FD" w:rsidRDefault="008742FD" w:rsidP="00306353">
      <w:pPr>
        <w:autoSpaceDE w:val="0"/>
        <w:autoSpaceDN w:val="0"/>
        <w:adjustRightInd w:val="0"/>
        <w:spacing w:after="0" w:line="240" w:lineRule="auto"/>
        <w:rPr>
          <w:rFonts w:ascii="Calibri" w:hAnsi="Calibri" w:cs="HelveticaNeue-Bold"/>
          <w:b/>
          <w:bCs/>
        </w:rPr>
      </w:pPr>
    </w:p>
    <w:p w14:paraId="333AE82F" w14:textId="77777777" w:rsidR="008742FD" w:rsidRDefault="008742FD" w:rsidP="00306353">
      <w:pPr>
        <w:autoSpaceDE w:val="0"/>
        <w:autoSpaceDN w:val="0"/>
        <w:adjustRightInd w:val="0"/>
        <w:spacing w:after="0" w:line="240" w:lineRule="auto"/>
        <w:rPr>
          <w:rFonts w:ascii="Calibri" w:hAnsi="Calibri" w:cs="HelveticaNeue-Bold"/>
          <w:b/>
          <w:bCs/>
        </w:rPr>
      </w:pPr>
    </w:p>
    <w:p w14:paraId="329C0C43" w14:textId="77777777" w:rsidR="008742FD" w:rsidRDefault="008742FD" w:rsidP="00306353">
      <w:pPr>
        <w:autoSpaceDE w:val="0"/>
        <w:autoSpaceDN w:val="0"/>
        <w:adjustRightInd w:val="0"/>
        <w:spacing w:after="0" w:line="240" w:lineRule="auto"/>
        <w:rPr>
          <w:rFonts w:ascii="Calibri" w:hAnsi="Calibri" w:cs="HelveticaNeue-Bold"/>
          <w:b/>
          <w:bCs/>
        </w:rPr>
      </w:pPr>
    </w:p>
    <w:p w14:paraId="396AE6C0" w14:textId="77777777" w:rsidR="008742FD" w:rsidRDefault="008742FD" w:rsidP="00306353">
      <w:pPr>
        <w:autoSpaceDE w:val="0"/>
        <w:autoSpaceDN w:val="0"/>
        <w:adjustRightInd w:val="0"/>
        <w:spacing w:after="0" w:line="240" w:lineRule="auto"/>
        <w:rPr>
          <w:rFonts w:ascii="Calibri" w:hAnsi="Calibri" w:cs="HelveticaNeue-Bold"/>
          <w:b/>
          <w:bCs/>
        </w:rPr>
      </w:pPr>
    </w:p>
    <w:p w14:paraId="428A40AA" w14:textId="77777777" w:rsidR="008742FD" w:rsidRDefault="008742FD" w:rsidP="00306353">
      <w:pPr>
        <w:autoSpaceDE w:val="0"/>
        <w:autoSpaceDN w:val="0"/>
        <w:adjustRightInd w:val="0"/>
        <w:spacing w:after="0" w:line="240" w:lineRule="auto"/>
        <w:rPr>
          <w:rFonts w:ascii="Calibri" w:hAnsi="Calibri" w:cs="HelveticaNeue-Bold"/>
          <w:b/>
          <w:bCs/>
        </w:rPr>
      </w:pPr>
    </w:p>
    <w:p w14:paraId="37FA6895" w14:textId="77777777" w:rsidR="008742FD" w:rsidRDefault="008742FD" w:rsidP="00306353">
      <w:pPr>
        <w:autoSpaceDE w:val="0"/>
        <w:autoSpaceDN w:val="0"/>
        <w:adjustRightInd w:val="0"/>
        <w:spacing w:after="0" w:line="240" w:lineRule="auto"/>
        <w:rPr>
          <w:rFonts w:ascii="Calibri" w:hAnsi="Calibri" w:cs="HelveticaNeue-Bold"/>
          <w:b/>
          <w:bCs/>
        </w:rPr>
      </w:pPr>
    </w:p>
    <w:p w14:paraId="199801F1" w14:textId="77777777" w:rsidR="008742FD" w:rsidRDefault="008742FD" w:rsidP="00306353">
      <w:pPr>
        <w:autoSpaceDE w:val="0"/>
        <w:autoSpaceDN w:val="0"/>
        <w:adjustRightInd w:val="0"/>
        <w:spacing w:after="0" w:line="240" w:lineRule="auto"/>
        <w:rPr>
          <w:rFonts w:ascii="Calibri" w:hAnsi="Calibri" w:cs="HelveticaNeue-Bold"/>
          <w:b/>
          <w:bCs/>
        </w:rPr>
      </w:pPr>
    </w:p>
    <w:p w14:paraId="7265B08F" w14:textId="1C8AF2F9"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3"/>
      <w:footerReference w:type="default" r:id="rId24"/>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F97CD" w14:textId="77777777" w:rsidR="0034169E" w:rsidRDefault="0034169E" w:rsidP="00182D13">
      <w:pPr>
        <w:spacing w:after="0" w:line="240" w:lineRule="auto"/>
      </w:pPr>
      <w:r>
        <w:separator/>
      </w:r>
    </w:p>
  </w:endnote>
  <w:endnote w:type="continuationSeparator" w:id="0">
    <w:p w14:paraId="697E0D62" w14:textId="77777777" w:rsidR="0034169E" w:rsidRDefault="0034169E"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default"/>
    <w:sig w:usb0="00000003" w:usb1="00000000" w:usb2="00000000" w:usb3="00000000" w:csb0="00000001" w:csb1="00000000"/>
  </w:font>
  <w:font w:name="HelveticaNeue">
    <w:panose1 w:val="020005030000000200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0B83F" w14:textId="77777777" w:rsidR="0034169E" w:rsidRDefault="0034169E" w:rsidP="00182D13">
      <w:pPr>
        <w:spacing w:after="0" w:line="240" w:lineRule="auto"/>
      </w:pPr>
      <w:r>
        <w:separator/>
      </w:r>
    </w:p>
  </w:footnote>
  <w:footnote w:type="continuationSeparator" w:id="0">
    <w:p w14:paraId="16AAF796" w14:textId="77777777" w:rsidR="0034169E" w:rsidRDefault="0034169E"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42CD"/>
    <w:rsid w:val="000053C3"/>
    <w:rsid w:val="000117C5"/>
    <w:rsid w:val="00011941"/>
    <w:rsid w:val="00011B23"/>
    <w:rsid w:val="00012C99"/>
    <w:rsid w:val="00013259"/>
    <w:rsid w:val="000153DB"/>
    <w:rsid w:val="00020DE6"/>
    <w:rsid w:val="00021412"/>
    <w:rsid w:val="00022336"/>
    <w:rsid w:val="00025196"/>
    <w:rsid w:val="0002671C"/>
    <w:rsid w:val="00030E78"/>
    <w:rsid w:val="000342AA"/>
    <w:rsid w:val="00035DD1"/>
    <w:rsid w:val="0003683B"/>
    <w:rsid w:val="00036E4B"/>
    <w:rsid w:val="0003777C"/>
    <w:rsid w:val="00047C3D"/>
    <w:rsid w:val="00047F01"/>
    <w:rsid w:val="00051895"/>
    <w:rsid w:val="00053E3B"/>
    <w:rsid w:val="00055298"/>
    <w:rsid w:val="00056AD3"/>
    <w:rsid w:val="000609D5"/>
    <w:rsid w:val="000613E4"/>
    <w:rsid w:val="00061640"/>
    <w:rsid w:val="00064EE7"/>
    <w:rsid w:val="00065167"/>
    <w:rsid w:val="00072E47"/>
    <w:rsid w:val="00075363"/>
    <w:rsid w:val="00075C60"/>
    <w:rsid w:val="00077B2D"/>
    <w:rsid w:val="00091EF0"/>
    <w:rsid w:val="00094312"/>
    <w:rsid w:val="000943C9"/>
    <w:rsid w:val="0009524F"/>
    <w:rsid w:val="00096810"/>
    <w:rsid w:val="000A0761"/>
    <w:rsid w:val="000A16C3"/>
    <w:rsid w:val="000A263B"/>
    <w:rsid w:val="000A4656"/>
    <w:rsid w:val="000A4797"/>
    <w:rsid w:val="000A60D4"/>
    <w:rsid w:val="000A67AC"/>
    <w:rsid w:val="000A68A6"/>
    <w:rsid w:val="000A72EB"/>
    <w:rsid w:val="000B0309"/>
    <w:rsid w:val="000B465D"/>
    <w:rsid w:val="000B54E9"/>
    <w:rsid w:val="000C11F6"/>
    <w:rsid w:val="000C3FEC"/>
    <w:rsid w:val="000C48DC"/>
    <w:rsid w:val="000C5557"/>
    <w:rsid w:val="000C5713"/>
    <w:rsid w:val="000C6E30"/>
    <w:rsid w:val="000C711D"/>
    <w:rsid w:val="000D0D37"/>
    <w:rsid w:val="000D56CA"/>
    <w:rsid w:val="000E2BA0"/>
    <w:rsid w:val="000E6862"/>
    <w:rsid w:val="000E7C93"/>
    <w:rsid w:val="000F3C75"/>
    <w:rsid w:val="0010368F"/>
    <w:rsid w:val="00103D04"/>
    <w:rsid w:val="00107568"/>
    <w:rsid w:val="0011151D"/>
    <w:rsid w:val="0011536E"/>
    <w:rsid w:val="001161C2"/>
    <w:rsid w:val="001178A2"/>
    <w:rsid w:val="00120CD0"/>
    <w:rsid w:val="001232B2"/>
    <w:rsid w:val="00127C33"/>
    <w:rsid w:val="001336EC"/>
    <w:rsid w:val="001345DA"/>
    <w:rsid w:val="001346E5"/>
    <w:rsid w:val="00137D1A"/>
    <w:rsid w:val="0014293D"/>
    <w:rsid w:val="00143C33"/>
    <w:rsid w:val="001445B0"/>
    <w:rsid w:val="00147966"/>
    <w:rsid w:val="00150502"/>
    <w:rsid w:val="001535B9"/>
    <w:rsid w:val="00160054"/>
    <w:rsid w:val="0016115F"/>
    <w:rsid w:val="00163C46"/>
    <w:rsid w:val="00167AC9"/>
    <w:rsid w:val="00171C99"/>
    <w:rsid w:val="00174200"/>
    <w:rsid w:val="001758FA"/>
    <w:rsid w:val="001806BC"/>
    <w:rsid w:val="00182D13"/>
    <w:rsid w:val="00182FF5"/>
    <w:rsid w:val="00184883"/>
    <w:rsid w:val="00185122"/>
    <w:rsid w:val="00185355"/>
    <w:rsid w:val="00185845"/>
    <w:rsid w:val="0019196A"/>
    <w:rsid w:val="0019360E"/>
    <w:rsid w:val="00193AA7"/>
    <w:rsid w:val="00196EBA"/>
    <w:rsid w:val="00197DD6"/>
    <w:rsid w:val="00197F20"/>
    <w:rsid w:val="001A1EBC"/>
    <w:rsid w:val="001A2031"/>
    <w:rsid w:val="001A2B10"/>
    <w:rsid w:val="001A2BB9"/>
    <w:rsid w:val="001A4A6B"/>
    <w:rsid w:val="001B28A5"/>
    <w:rsid w:val="001B347D"/>
    <w:rsid w:val="001B6A51"/>
    <w:rsid w:val="001C0209"/>
    <w:rsid w:val="001C132E"/>
    <w:rsid w:val="001C166B"/>
    <w:rsid w:val="001C1CFC"/>
    <w:rsid w:val="001C1D21"/>
    <w:rsid w:val="001C20E0"/>
    <w:rsid w:val="001C2522"/>
    <w:rsid w:val="001C2BDA"/>
    <w:rsid w:val="001C5039"/>
    <w:rsid w:val="001C5E6C"/>
    <w:rsid w:val="001C6919"/>
    <w:rsid w:val="001C758C"/>
    <w:rsid w:val="001D0B09"/>
    <w:rsid w:val="001D116E"/>
    <w:rsid w:val="001D26E1"/>
    <w:rsid w:val="001D5734"/>
    <w:rsid w:val="001D7AB3"/>
    <w:rsid w:val="001D7B74"/>
    <w:rsid w:val="001E2A4B"/>
    <w:rsid w:val="001F1B0F"/>
    <w:rsid w:val="001F1DEE"/>
    <w:rsid w:val="0020169D"/>
    <w:rsid w:val="00201887"/>
    <w:rsid w:val="0020239D"/>
    <w:rsid w:val="00204500"/>
    <w:rsid w:val="0020520B"/>
    <w:rsid w:val="00205C3C"/>
    <w:rsid w:val="0021055E"/>
    <w:rsid w:val="00211664"/>
    <w:rsid w:val="00212CBA"/>
    <w:rsid w:val="00213AAA"/>
    <w:rsid w:val="002153E2"/>
    <w:rsid w:val="0021607F"/>
    <w:rsid w:val="002207DB"/>
    <w:rsid w:val="00220F8F"/>
    <w:rsid w:val="002219E7"/>
    <w:rsid w:val="002243A9"/>
    <w:rsid w:val="002265DC"/>
    <w:rsid w:val="002308D4"/>
    <w:rsid w:val="002336E0"/>
    <w:rsid w:val="00233F49"/>
    <w:rsid w:val="00236A49"/>
    <w:rsid w:val="002420E0"/>
    <w:rsid w:val="00244361"/>
    <w:rsid w:val="00246187"/>
    <w:rsid w:val="002465D7"/>
    <w:rsid w:val="00247B68"/>
    <w:rsid w:val="00250C43"/>
    <w:rsid w:val="002512FA"/>
    <w:rsid w:val="00252D85"/>
    <w:rsid w:val="002537B9"/>
    <w:rsid w:val="00254482"/>
    <w:rsid w:val="00255797"/>
    <w:rsid w:val="00256E3C"/>
    <w:rsid w:val="00260350"/>
    <w:rsid w:val="00270F22"/>
    <w:rsid w:val="002710E0"/>
    <w:rsid w:val="00275497"/>
    <w:rsid w:val="002805AF"/>
    <w:rsid w:val="00280A39"/>
    <w:rsid w:val="00281932"/>
    <w:rsid w:val="00283CA1"/>
    <w:rsid w:val="00284100"/>
    <w:rsid w:val="00284E99"/>
    <w:rsid w:val="00284EF8"/>
    <w:rsid w:val="002856EC"/>
    <w:rsid w:val="00286C13"/>
    <w:rsid w:val="00291E38"/>
    <w:rsid w:val="00292D3E"/>
    <w:rsid w:val="00294D43"/>
    <w:rsid w:val="002960BC"/>
    <w:rsid w:val="002A13DC"/>
    <w:rsid w:val="002A61A9"/>
    <w:rsid w:val="002B216A"/>
    <w:rsid w:val="002B4E2A"/>
    <w:rsid w:val="002B630E"/>
    <w:rsid w:val="002B6F46"/>
    <w:rsid w:val="002C0193"/>
    <w:rsid w:val="002C6F82"/>
    <w:rsid w:val="002C79AA"/>
    <w:rsid w:val="002C7FAD"/>
    <w:rsid w:val="002D0A18"/>
    <w:rsid w:val="002D25DF"/>
    <w:rsid w:val="002D25FA"/>
    <w:rsid w:val="002D4AF5"/>
    <w:rsid w:val="002E0347"/>
    <w:rsid w:val="002E18DB"/>
    <w:rsid w:val="002E2AE7"/>
    <w:rsid w:val="002E348E"/>
    <w:rsid w:val="002E48B4"/>
    <w:rsid w:val="002F31E8"/>
    <w:rsid w:val="002F451E"/>
    <w:rsid w:val="002F46C3"/>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30C6"/>
    <w:rsid w:val="00335C77"/>
    <w:rsid w:val="003366DB"/>
    <w:rsid w:val="00336718"/>
    <w:rsid w:val="0034169E"/>
    <w:rsid w:val="00354834"/>
    <w:rsid w:val="00355BF8"/>
    <w:rsid w:val="00360EE4"/>
    <w:rsid w:val="003621B2"/>
    <w:rsid w:val="00364F3B"/>
    <w:rsid w:val="00365A21"/>
    <w:rsid w:val="00366E47"/>
    <w:rsid w:val="00371694"/>
    <w:rsid w:val="0037241C"/>
    <w:rsid w:val="00374E21"/>
    <w:rsid w:val="00375AA4"/>
    <w:rsid w:val="00381522"/>
    <w:rsid w:val="00384008"/>
    <w:rsid w:val="00387B42"/>
    <w:rsid w:val="00390E1D"/>
    <w:rsid w:val="0039148F"/>
    <w:rsid w:val="00392F52"/>
    <w:rsid w:val="00393745"/>
    <w:rsid w:val="00397365"/>
    <w:rsid w:val="003A31FF"/>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E102C"/>
    <w:rsid w:val="003E1E44"/>
    <w:rsid w:val="003E2EDC"/>
    <w:rsid w:val="003E4DD1"/>
    <w:rsid w:val="003E6125"/>
    <w:rsid w:val="003E616B"/>
    <w:rsid w:val="003F120E"/>
    <w:rsid w:val="003F15FD"/>
    <w:rsid w:val="003F1E6D"/>
    <w:rsid w:val="003F3EA2"/>
    <w:rsid w:val="003F4C10"/>
    <w:rsid w:val="003F70E7"/>
    <w:rsid w:val="00402FCE"/>
    <w:rsid w:val="0040474F"/>
    <w:rsid w:val="0040515C"/>
    <w:rsid w:val="004053BB"/>
    <w:rsid w:val="00411039"/>
    <w:rsid w:val="00413ECE"/>
    <w:rsid w:val="0042018F"/>
    <w:rsid w:val="00420A13"/>
    <w:rsid w:val="00423A2B"/>
    <w:rsid w:val="00430036"/>
    <w:rsid w:val="00430E4E"/>
    <w:rsid w:val="00432B51"/>
    <w:rsid w:val="00435D26"/>
    <w:rsid w:val="004364E1"/>
    <w:rsid w:val="00436F58"/>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602AD"/>
    <w:rsid w:val="00460E41"/>
    <w:rsid w:val="00461099"/>
    <w:rsid w:val="0046260A"/>
    <w:rsid w:val="00462FFB"/>
    <w:rsid w:val="00464055"/>
    <w:rsid w:val="00466670"/>
    <w:rsid w:val="004702C9"/>
    <w:rsid w:val="004732A7"/>
    <w:rsid w:val="0047431E"/>
    <w:rsid w:val="004808A5"/>
    <w:rsid w:val="00484A00"/>
    <w:rsid w:val="004909AB"/>
    <w:rsid w:val="00491FC8"/>
    <w:rsid w:val="00492CF5"/>
    <w:rsid w:val="004930EA"/>
    <w:rsid w:val="00494A47"/>
    <w:rsid w:val="004A1CE5"/>
    <w:rsid w:val="004A6E0E"/>
    <w:rsid w:val="004B0F32"/>
    <w:rsid w:val="004B3BEA"/>
    <w:rsid w:val="004B435A"/>
    <w:rsid w:val="004B438F"/>
    <w:rsid w:val="004B5FEE"/>
    <w:rsid w:val="004B614C"/>
    <w:rsid w:val="004C02E6"/>
    <w:rsid w:val="004C52EC"/>
    <w:rsid w:val="004C61A6"/>
    <w:rsid w:val="004C7EDF"/>
    <w:rsid w:val="004D181B"/>
    <w:rsid w:val="004D711F"/>
    <w:rsid w:val="004D76EB"/>
    <w:rsid w:val="004E3225"/>
    <w:rsid w:val="004F1AF4"/>
    <w:rsid w:val="004F206A"/>
    <w:rsid w:val="004F47F4"/>
    <w:rsid w:val="004F593E"/>
    <w:rsid w:val="0050054D"/>
    <w:rsid w:val="005009AA"/>
    <w:rsid w:val="00504423"/>
    <w:rsid w:val="00505D8C"/>
    <w:rsid w:val="005063EB"/>
    <w:rsid w:val="00506874"/>
    <w:rsid w:val="00510BD0"/>
    <w:rsid w:val="00510D45"/>
    <w:rsid w:val="005116B4"/>
    <w:rsid w:val="005155D1"/>
    <w:rsid w:val="005158EB"/>
    <w:rsid w:val="00520B6E"/>
    <w:rsid w:val="005219B1"/>
    <w:rsid w:val="00522255"/>
    <w:rsid w:val="00524166"/>
    <w:rsid w:val="00524AEC"/>
    <w:rsid w:val="005275CF"/>
    <w:rsid w:val="00527D6A"/>
    <w:rsid w:val="00533253"/>
    <w:rsid w:val="005359B1"/>
    <w:rsid w:val="0053708C"/>
    <w:rsid w:val="00537281"/>
    <w:rsid w:val="00542964"/>
    <w:rsid w:val="00543F03"/>
    <w:rsid w:val="005448B2"/>
    <w:rsid w:val="00545771"/>
    <w:rsid w:val="00545AA4"/>
    <w:rsid w:val="00551C23"/>
    <w:rsid w:val="00556414"/>
    <w:rsid w:val="0055647D"/>
    <w:rsid w:val="00560ABB"/>
    <w:rsid w:val="00562AAE"/>
    <w:rsid w:val="005641BD"/>
    <w:rsid w:val="00564767"/>
    <w:rsid w:val="00567890"/>
    <w:rsid w:val="00570A06"/>
    <w:rsid w:val="00570B54"/>
    <w:rsid w:val="005711C4"/>
    <w:rsid w:val="00574108"/>
    <w:rsid w:val="005912CF"/>
    <w:rsid w:val="005918D9"/>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5160"/>
    <w:rsid w:val="005D73CD"/>
    <w:rsid w:val="005E215B"/>
    <w:rsid w:val="005E33B5"/>
    <w:rsid w:val="005F1345"/>
    <w:rsid w:val="005F327A"/>
    <w:rsid w:val="00601BFD"/>
    <w:rsid w:val="00601E1D"/>
    <w:rsid w:val="00607B8D"/>
    <w:rsid w:val="0061036F"/>
    <w:rsid w:val="006103AC"/>
    <w:rsid w:val="00610F49"/>
    <w:rsid w:val="00612671"/>
    <w:rsid w:val="0061328C"/>
    <w:rsid w:val="006132F7"/>
    <w:rsid w:val="00613914"/>
    <w:rsid w:val="006176FE"/>
    <w:rsid w:val="0062332B"/>
    <w:rsid w:val="00624892"/>
    <w:rsid w:val="00632AE5"/>
    <w:rsid w:val="006336AE"/>
    <w:rsid w:val="00637C21"/>
    <w:rsid w:val="006445B6"/>
    <w:rsid w:val="00644CA4"/>
    <w:rsid w:val="006459CA"/>
    <w:rsid w:val="00646EF0"/>
    <w:rsid w:val="006472B3"/>
    <w:rsid w:val="0065018B"/>
    <w:rsid w:val="00653620"/>
    <w:rsid w:val="00653CB9"/>
    <w:rsid w:val="006604C4"/>
    <w:rsid w:val="006616A5"/>
    <w:rsid w:val="00673483"/>
    <w:rsid w:val="00674091"/>
    <w:rsid w:val="00674906"/>
    <w:rsid w:val="00674DDA"/>
    <w:rsid w:val="006761FF"/>
    <w:rsid w:val="00676C89"/>
    <w:rsid w:val="00680F52"/>
    <w:rsid w:val="00681515"/>
    <w:rsid w:val="0068271C"/>
    <w:rsid w:val="00687C1F"/>
    <w:rsid w:val="00695381"/>
    <w:rsid w:val="006963D0"/>
    <w:rsid w:val="00696AA9"/>
    <w:rsid w:val="00696DE1"/>
    <w:rsid w:val="00697BE4"/>
    <w:rsid w:val="006A03A2"/>
    <w:rsid w:val="006A09C2"/>
    <w:rsid w:val="006A3CB7"/>
    <w:rsid w:val="006B0D61"/>
    <w:rsid w:val="006B3DB3"/>
    <w:rsid w:val="006B3F34"/>
    <w:rsid w:val="006B48D2"/>
    <w:rsid w:val="006C0609"/>
    <w:rsid w:val="006C1144"/>
    <w:rsid w:val="006C161C"/>
    <w:rsid w:val="006C393D"/>
    <w:rsid w:val="006C5703"/>
    <w:rsid w:val="006C7899"/>
    <w:rsid w:val="006D36AE"/>
    <w:rsid w:val="006D5205"/>
    <w:rsid w:val="006D6474"/>
    <w:rsid w:val="006D7214"/>
    <w:rsid w:val="006E0EB3"/>
    <w:rsid w:val="006E5243"/>
    <w:rsid w:val="006F72F9"/>
    <w:rsid w:val="006F7FF3"/>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367AE"/>
    <w:rsid w:val="00736A34"/>
    <w:rsid w:val="00737505"/>
    <w:rsid w:val="00740166"/>
    <w:rsid w:val="0074359B"/>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6239"/>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C3C7A"/>
    <w:rsid w:val="007D6D5A"/>
    <w:rsid w:val="007E2A14"/>
    <w:rsid w:val="007E3835"/>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DFD"/>
    <w:rsid w:val="00823F7D"/>
    <w:rsid w:val="008272E7"/>
    <w:rsid w:val="00830532"/>
    <w:rsid w:val="00834C30"/>
    <w:rsid w:val="00837296"/>
    <w:rsid w:val="0083741C"/>
    <w:rsid w:val="00837678"/>
    <w:rsid w:val="008417CF"/>
    <w:rsid w:val="008433FC"/>
    <w:rsid w:val="008460FF"/>
    <w:rsid w:val="00846356"/>
    <w:rsid w:val="0085286A"/>
    <w:rsid w:val="00853013"/>
    <w:rsid w:val="008546A5"/>
    <w:rsid w:val="008561AF"/>
    <w:rsid w:val="00865140"/>
    <w:rsid w:val="008652D7"/>
    <w:rsid w:val="00865373"/>
    <w:rsid w:val="008711D5"/>
    <w:rsid w:val="00871680"/>
    <w:rsid w:val="00872603"/>
    <w:rsid w:val="008742FD"/>
    <w:rsid w:val="008756C3"/>
    <w:rsid w:val="008763B2"/>
    <w:rsid w:val="00880B1E"/>
    <w:rsid w:val="00884A23"/>
    <w:rsid w:val="008859E3"/>
    <w:rsid w:val="008877E6"/>
    <w:rsid w:val="00887908"/>
    <w:rsid w:val="00890BB8"/>
    <w:rsid w:val="00893857"/>
    <w:rsid w:val="00895FA5"/>
    <w:rsid w:val="008A41A9"/>
    <w:rsid w:val="008A659F"/>
    <w:rsid w:val="008A6DF3"/>
    <w:rsid w:val="008A72AC"/>
    <w:rsid w:val="008B36B6"/>
    <w:rsid w:val="008B7DCA"/>
    <w:rsid w:val="008C10EA"/>
    <w:rsid w:val="008C25D7"/>
    <w:rsid w:val="008C2DB6"/>
    <w:rsid w:val="008C37C7"/>
    <w:rsid w:val="008C7A90"/>
    <w:rsid w:val="008D5BFD"/>
    <w:rsid w:val="008D74A1"/>
    <w:rsid w:val="008D7E0C"/>
    <w:rsid w:val="008E1659"/>
    <w:rsid w:val="008E5659"/>
    <w:rsid w:val="008F1315"/>
    <w:rsid w:val="008F3769"/>
    <w:rsid w:val="008F5409"/>
    <w:rsid w:val="008F7247"/>
    <w:rsid w:val="00900FB7"/>
    <w:rsid w:val="0090108E"/>
    <w:rsid w:val="00913D1F"/>
    <w:rsid w:val="00915370"/>
    <w:rsid w:val="009153CB"/>
    <w:rsid w:val="00917C7C"/>
    <w:rsid w:val="0092164F"/>
    <w:rsid w:val="00923553"/>
    <w:rsid w:val="00923908"/>
    <w:rsid w:val="00927D90"/>
    <w:rsid w:val="0093163C"/>
    <w:rsid w:val="00933B17"/>
    <w:rsid w:val="009346B3"/>
    <w:rsid w:val="00935D17"/>
    <w:rsid w:val="009366F8"/>
    <w:rsid w:val="00936BF9"/>
    <w:rsid w:val="009507CB"/>
    <w:rsid w:val="00950B5D"/>
    <w:rsid w:val="00950C4B"/>
    <w:rsid w:val="00951A66"/>
    <w:rsid w:val="00957202"/>
    <w:rsid w:val="00957699"/>
    <w:rsid w:val="00963B98"/>
    <w:rsid w:val="0096674E"/>
    <w:rsid w:val="00966DBA"/>
    <w:rsid w:val="0096798C"/>
    <w:rsid w:val="00976061"/>
    <w:rsid w:val="009770B6"/>
    <w:rsid w:val="00980332"/>
    <w:rsid w:val="009920EC"/>
    <w:rsid w:val="00994450"/>
    <w:rsid w:val="009960FA"/>
    <w:rsid w:val="00997118"/>
    <w:rsid w:val="00997465"/>
    <w:rsid w:val="00997681"/>
    <w:rsid w:val="009A65D2"/>
    <w:rsid w:val="009A6F87"/>
    <w:rsid w:val="009B0887"/>
    <w:rsid w:val="009B1C9B"/>
    <w:rsid w:val="009B5404"/>
    <w:rsid w:val="009B7C60"/>
    <w:rsid w:val="009C2E11"/>
    <w:rsid w:val="009C2E98"/>
    <w:rsid w:val="009C6ACE"/>
    <w:rsid w:val="009D0127"/>
    <w:rsid w:val="009D0557"/>
    <w:rsid w:val="009D119F"/>
    <w:rsid w:val="009E0CB8"/>
    <w:rsid w:val="009E17D5"/>
    <w:rsid w:val="009E44B8"/>
    <w:rsid w:val="009E482B"/>
    <w:rsid w:val="009F23F3"/>
    <w:rsid w:val="009F5D69"/>
    <w:rsid w:val="009F7C22"/>
    <w:rsid w:val="00A00B52"/>
    <w:rsid w:val="00A02EFF"/>
    <w:rsid w:val="00A05010"/>
    <w:rsid w:val="00A06D80"/>
    <w:rsid w:val="00A107A2"/>
    <w:rsid w:val="00A206C4"/>
    <w:rsid w:val="00A20A55"/>
    <w:rsid w:val="00A20EE7"/>
    <w:rsid w:val="00A2249E"/>
    <w:rsid w:val="00A22A03"/>
    <w:rsid w:val="00A23795"/>
    <w:rsid w:val="00A25BE3"/>
    <w:rsid w:val="00A25FB0"/>
    <w:rsid w:val="00A26C0E"/>
    <w:rsid w:val="00A276D4"/>
    <w:rsid w:val="00A3148F"/>
    <w:rsid w:val="00A33225"/>
    <w:rsid w:val="00A34B39"/>
    <w:rsid w:val="00A359AE"/>
    <w:rsid w:val="00A50D3E"/>
    <w:rsid w:val="00A54725"/>
    <w:rsid w:val="00A5713D"/>
    <w:rsid w:val="00A6450F"/>
    <w:rsid w:val="00A66256"/>
    <w:rsid w:val="00A67A34"/>
    <w:rsid w:val="00A70EC6"/>
    <w:rsid w:val="00A720D2"/>
    <w:rsid w:val="00A736D3"/>
    <w:rsid w:val="00A763EF"/>
    <w:rsid w:val="00A77C9B"/>
    <w:rsid w:val="00A9269F"/>
    <w:rsid w:val="00A94CEE"/>
    <w:rsid w:val="00A94D6F"/>
    <w:rsid w:val="00A967D6"/>
    <w:rsid w:val="00AA1872"/>
    <w:rsid w:val="00AA50C2"/>
    <w:rsid w:val="00AA6735"/>
    <w:rsid w:val="00AB1204"/>
    <w:rsid w:val="00AB33C1"/>
    <w:rsid w:val="00AB356F"/>
    <w:rsid w:val="00AB56A8"/>
    <w:rsid w:val="00AB5E45"/>
    <w:rsid w:val="00AB6B08"/>
    <w:rsid w:val="00AB6B3E"/>
    <w:rsid w:val="00AB6B45"/>
    <w:rsid w:val="00AC0537"/>
    <w:rsid w:val="00AC1202"/>
    <w:rsid w:val="00AC754B"/>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4B58"/>
    <w:rsid w:val="00B15C0D"/>
    <w:rsid w:val="00B15C76"/>
    <w:rsid w:val="00B16566"/>
    <w:rsid w:val="00B17533"/>
    <w:rsid w:val="00B17E5B"/>
    <w:rsid w:val="00B24289"/>
    <w:rsid w:val="00B251C2"/>
    <w:rsid w:val="00B2581D"/>
    <w:rsid w:val="00B31C53"/>
    <w:rsid w:val="00B32261"/>
    <w:rsid w:val="00B3537F"/>
    <w:rsid w:val="00B355F3"/>
    <w:rsid w:val="00B357AA"/>
    <w:rsid w:val="00B35B68"/>
    <w:rsid w:val="00B454E1"/>
    <w:rsid w:val="00B45A32"/>
    <w:rsid w:val="00B544C7"/>
    <w:rsid w:val="00B560E2"/>
    <w:rsid w:val="00B63726"/>
    <w:rsid w:val="00B63BEF"/>
    <w:rsid w:val="00B6694B"/>
    <w:rsid w:val="00B75C94"/>
    <w:rsid w:val="00B80789"/>
    <w:rsid w:val="00B83119"/>
    <w:rsid w:val="00B84D68"/>
    <w:rsid w:val="00B85FE7"/>
    <w:rsid w:val="00B902BE"/>
    <w:rsid w:val="00B9319D"/>
    <w:rsid w:val="00B935FA"/>
    <w:rsid w:val="00B952A4"/>
    <w:rsid w:val="00B9676A"/>
    <w:rsid w:val="00BA1974"/>
    <w:rsid w:val="00BA1D61"/>
    <w:rsid w:val="00BA3BAB"/>
    <w:rsid w:val="00BA4FE7"/>
    <w:rsid w:val="00BA626C"/>
    <w:rsid w:val="00BA6996"/>
    <w:rsid w:val="00BC07FD"/>
    <w:rsid w:val="00BC1642"/>
    <w:rsid w:val="00BC425F"/>
    <w:rsid w:val="00BC4472"/>
    <w:rsid w:val="00BC5749"/>
    <w:rsid w:val="00BC5EE3"/>
    <w:rsid w:val="00BD01E6"/>
    <w:rsid w:val="00BD4DA8"/>
    <w:rsid w:val="00BD6523"/>
    <w:rsid w:val="00BE112C"/>
    <w:rsid w:val="00BE19DB"/>
    <w:rsid w:val="00BE1FF5"/>
    <w:rsid w:val="00BE236A"/>
    <w:rsid w:val="00BF087C"/>
    <w:rsid w:val="00BF0950"/>
    <w:rsid w:val="00BF225E"/>
    <w:rsid w:val="00BF240D"/>
    <w:rsid w:val="00BF26D9"/>
    <w:rsid w:val="00BF2A8E"/>
    <w:rsid w:val="00BF2AA4"/>
    <w:rsid w:val="00BF2CAE"/>
    <w:rsid w:val="00BF46E3"/>
    <w:rsid w:val="00BF6508"/>
    <w:rsid w:val="00BF7784"/>
    <w:rsid w:val="00C01FAD"/>
    <w:rsid w:val="00C0232F"/>
    <w:rsid w:val="00C02AF7"/>
    <w:rsid w:val="00C03EE7"/>
    <w:rsid w:val="00C05088"/>
    <w:rsid w:val="00C05833"/>
    <w:rsid w:val="00C103E2"/>
    <w:rsid w:val="00C106B5"/>
    <w:rsid w:val="00C11226"/>
    <w:rsid w:val="00C11538"/>
    <w:rsid w:val="00C126B7"/>
    <w:rsid w:val="00C13DE1"/>
    <w:rsid w:val="00C20944"/>
    <w:rsid w:val="00C229A1"/>
    <w:rsid w:val="00C25240"/>
    <w:rsid w:val="00C26DCF"/>
    <w:rsid w:val="00C27C57"/>
    <w:rsid w:val="00C353A0"/>
    <w:rsid w:val="00C369D2"/>
    <w:rsid w:val="00C422E5"/>
    <w:rsid w:val="00C42A15"/>
    <w:rsid w:val="00C43577"/>
    <w:rsid w:val="00C45D83"/>
    <w:rsid w:val="00C466A3"/>
    <w:rsid w:val="00C468F3"/>
    <w:rsid w:val="00C55EB9"/>
    <w:rsid w:val="00C60059"/>
    <w:rsid w:val="00C6208A"/>
    <w:rsid w:val="00C627F3"/>
    <w:rsid w:val="00C628E3"/>
    <w:rsid w:val="00C633D0"/>
    <w:rsid w:val="00C66155"/>
    <w:rsid w:val="00C66E38"/>
    <w:rsid w:val="00C66FBB"/>
    <w:rsid w:val="00C70146"/>
    <w:rsid w:val="00C71952"/>
    <w:rsid w:val="00C77071"/>
    <w:rsid w:val="00C80E44"/>
    <w:rsid w:val="00C8121A"/>
    <w:rsid w:val="00C823C8"/>
    <w:rsid w:val="00C921A4"/>
    <w:rsid w:val="00C926A5"/>
    <w:rsid w:val="00C94214"/>
    <w:rsid w:val="00C9600B"/>
    <w:rsid w:val="00C9675E"/>
    <w:rsid w:val="00C97FF6"/>
    <w:rsid w:val="00CA3920"/>
    <w:rsid w:val="00CA4162"/>
    <w:rsid w:val="00CA5345"/>
    <w:rsid w:val="00CB2D7A"/>
    <w:rsid w:val="00CB4882"/>
    <w:rsid w:val="00CB70DE"/>
    <w:rsid w:val="00CC1E70"/>
    <w:rsid w:val="00CC31A0"/>
    <w:rsid w:val="00CC4BBC"/>
    <w:rsid w:val="00CD017B"/>
    <w:rsid w:val="00CD37B3"/>
    <w:rsid w:val="00CD3CD6"/>
    <w:rsid w:val="00CE710F"/>
    <w:rsid w:val="00CF1C95"/>
    <w:rsid w:val="00CF1CB7"/>
    <w:rsid w:val="00D0215F"/>
    <w:rsid w:val="00D067D7"/>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D1"/>
    <w:rsid w:val="00D33D13"/>
    <w:rsid w:val="00D42690"/>
    <w:rsid w:val="00D47C0C"/>
    <w:rsid w:val="00D526CC"/>
    <w:rsid w:val="00D551D3"/>
    <w:rsid w:val="00D564B4"/>
    <w:rsid w:val="00D57F44"/>
    <w:rsid w:val="00D6194C"/>
    <w:rsid w:val="00D62140"/>
    <w:rsid w:val="00D6303E"/>
    <w:rsid w:val="00D6328A"/>
    <w:rsid w:val="00D644AB"/>
    <w:rsid w:val="00D718F8"/>
    <w:rsid w:val="00D752E1"/>
    <w:rsid w:val="00D75CE3"/>
    <w:rsid w:val="00D8051F"/>
    <w:rsid w:val="00D86EC4"/>
    <w:rsid w:val="00D90CA8"/>
    <w:rsid w:val="00D916F3"/>
    <w:rsid w:val="00D91C19"/>
    <w:rsid w:val="00D923DF"/>
    <w:rsid w:val="00D944D9"/>
    <w:rsid w:val="00D9614A"/>
    <w:rsid w:val="00DA0352"/>
    <w:rsid w:val="00DA339B"/>
    <w:rsid w:val="00DB297A"/>
    <w:rsid w:val="00DB2A79"/>
    <w:rsid w:val="00DB2DA6"/>
    <w:rsid w:val="00DB35F5"/>
    <w:rsid w:val="00DB7999"/>
    <w:rsid w:val="00DC4225"/>
    <w:rsid w:val="00DC4A00"/>
    <w:rsid w:val="00DC57B6"/>
    <w:rsid w:val="00DC5D6A"/>
    <w:rsid w:val="00DD1FC6"/>
    <w:rsid w:val="00DD3822"/>
    <w:rsid w:val="00DD62B2"/>
    <w:rsid w:val="00DD7DEF"/>
    <w:rsid w:val="00DE03C2"/>
    <w:rsid w:val="00DE0D12"/>
    <w:rsid w:val="00DE397C"/>
    <w:rsid w:val="00DE3D3D"/>
    <w:rsid w:val="00DE441E"/>
    <w:rsid w:val="00DE5EA2"/>
    <w:rsid w:val="00DF0EE7"/>
    <w:rsid w:val="00DF12E3"/>
    <w:rsid w:val="00DF2801"/>
    <w:rsid w:val="00E00F59"/>
    <w:rsid w:val="00E01101"/>
    <w:rsid w:val="00E012C5"/>
    <w:rsid w:val="00E04607"/>
    <w:rsid w:val="00E0626F"/>
    <w:rsid w:val="00E130A3"/>
    <w:rsid w:val="00E13578"/>
    <w:rsid w:val="00E21AC8"/>
    <w:rsid w:val="00E26BCF"/>
    <w:rsid w:val="00E27291"/>
    <w:rsid w:val="00E334FB"/>
    <w:rsid w:val="00E34081"/>
    <w:rsid w:val="00E3473A"/>
    <w:rsid w:val="00E366E9"/>
    <w:rsid w:val="00E37707"/>
    <w:rsid w:val="00E378F6"/>
    <w:rsid w:val="00E404E4"/>
    <w:rsid w:val="00E456EF"/>
    <w:rsid w:val="00E5701C"/>
    <w:rsid w:val="00E62279"/>
    <w:rsid w:val="00E624CE"/>
    <w:rsid w:val="00E6298C"/>
    <w:rsid w:val="00E6630A"/>
    <w:rsid w:val="00E7057D"/>
    <w:rsid w:val="00E71DAC"/>
    <w:rsid w:val="00E73048"/>
    <w:rsid w:val="00E744D6"/>
    <w:rsid w:val="00E75CB8"/>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7BAC"/>
    <w:rsid w:val="00F0092F"/>
    <w:rsid w:val="00F02236"/>
    <w:rsid w:val="00F024BC"/>
    <w:rsid w:val="00F03264"/>
    <w:rsid w:val="00F045C8"/>
    <w:rsid w:val="00F05E36"/>
    <w:rsid w:val="00F1210B"/>
    <w:rsid w:val="00F14444"/>
    <w:rsid w:val="00F17C77"/>
    <w:rsid w:val="00F24DF4"/>
    <w:rsid w:val="00F264AB"/>
    <w:rsid w:val="00F26781"/>
    <w:rsid w:val="00F26D35"/>
    <w:rsid w:val="00F270FC"/>
    <w:rsid w:val="00F30CFC"/>
    <w:rsid w:val="00F33F26"/>
    <w:rsid w:val="00F37EA8"/>
    <w:rsid w:val="00F43C41"/>
    <w:rsid w:val="00F44496"/>
    <w:rsid w:val="00F515EA"/>
    <w:rsid w:val="00F6017D"/>
    <w:rsid w:val="00F604EA"/>
    <w:rsid w:val="00F6205F"/>
    <w:rsid w:val="00F62F20"/>
    <w:rsid w:val="00F63881"/>
    <w:rsid w:val="00F64816"/>
    <w:rsid w:val="00F64EA0"/>
    <w:rsid w:val="00F670CC"/>
    <w:rsid w:val="00F73B5C"/>
    <w:rsid w:val="00F74F11"/>
    <w:rsid w:val="00F75088"/>
    <w:rsid w:val="00F7600A"/>
    <w:rsid w:val="00F77782"/>
    <w:rsid w:val="00F852CC"/>
    <w:rsid w:val="00F854E8"/>
    <w:rsid w:val="00F863C6"/>
    <w:rsid w:val="00F90697"/>
    <w:rsid w:val="00F90E4A"/>
    <w:rsid w:val="00F91595"/>
    <w:rsid w:val="00F91AB4"/>
    <w:rsid w:val="00F940D6"/>
    <w:rsid w:val="00F956A8"/>
    <w:rsid w:val="00FA2FBF"/>
    <w:rsid w:val="00FA3DA3"/>
    <w:rsid w:val="00FA5426"/>
    <w:rsid w:val="00FC0E73"/>
    <w:rsid w:val="00FC1F4A"/>
    <w:rsid w:val="00FC34E5"/>
    <w:rsid w:val="00FC62B7"/>
    <w:rsid w:val="00FC724D"/>
    <w:rsid w:val="00FD0ABC"/>
    <w:rsid w:val="00FD0B5E"/>
    <w:rsid w:val="00FD17CF"/>
    <w:rsid w:val="00FD257A"/>
    <w:rsid w:val="00FD420E"/>
    <w:rsid w:val="00FD506F"/>
    <w:rsid w:val="00FD585E"/>
    <w:rsid w:val="00FD6D07"/>
    <w:rsid w:val="00FD6F64"/>
    <w:rsid w:val="00FE07FB"/>
    <w:rsid w:val="00FE1B82"/>
    <w:rsid w:val="00FE2662"/>
    <w:rsid w:val="00FE3B61"/>
    <w:rsid w:val="00FE4CED"/>
    <w:rsid w:val="00FE4F7B"/>
    <w:rsid w:val="00FE58AD"/>
    <w:rsid w:val="00FE5AA4"/>
    <w:rsid w:val="00FE7659"/>
    <w:rsid w:val="00FF2A8E"/>
    <w:rsid w:val="00FF3A4E"/>
    <w:rsid w:val="00FF3A76"/>
    <w:rsid w:val="00FF3FE3"/>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snpl.com.au/australian-standards-1428-summarise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accesscentral.com.au/2018/08/19/luminance-contrast-of-doorways-do-you-see-it-you-shou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ccess.as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disability.wa.gov.au/Global/Publications/Understanding%20disability/Built%20environment/Access%20Resource%20Ki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BD989-7B56-4CD0-B8F8-64FBF77D05C7}">
  <ds:schemaRefs>
    <ds:schemaRef ds:uri="http://schemas.microsoft.com/sharepoint/v3/contenttype/forms"/>
  </ds:schemaRefs>
</ds:datastoreItem>
</file>

<file path=customXml/itemProps2.xml><?xml version="1.0" encoding="utf-8"?>
<ds:datastoreItem xmlns:ds="http://schemas.openxmlformats.org/officeDocument/2006/customXml" ds:itemID="{68093139-F45B-4375-97BA-C80BED4AC6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71F617-A0FE-4046-BC6C-6ACFC8881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6726</Words>
  <Characters>36995</Characters>
  <Application>Microsoft Office Word</Application>
  <DocSecurity>0</DocSecurity>
  <Lines>308</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22</cp:revision>
  <dcterms:created xsi:type="dcterms:W3CDTF">2020-10-22T02:54:00Z</dcterms:created>
  <dcterms:modified xsi:type="dcterms:W3CDTF">2020-12-01T05:54:00Z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