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581D7C" w:rsidRDefault="00B355F3" w:rsidP="00C627F3">
          <w:pPr>
            <w:jc w:val="right"/>
            <w:rPr>
              <w:caps/>
              <w:color w:val="2E74B5" w:themeColor="accent1" w:themeShade="BF"/>
              <w:sz w:val="64"/>
              <w:szCs w:val="64"/>
            </w:rPr>
          </w:pPr>
          <w:bookmarkStart w:id="3" w:name="_Toc33527981"/>
          <w:r w:rsidRPr="00581D7C">
            <w:rPr>
              <w:caps/>
              <w:color w:val="2E74B5" w:themeColor="accent1" w:themeShade="BF"/>
              <w:sz w:val="64"/>
              <w:szCs w:val="64"/>
            </w:rPr>
            <w:t>Women’s Health Services</w:t>
          </w:r>
          <w:bookmarkEnd w:id="3"/>
          <w:r w:rsidRPr="00581D7C">
            <w:rPr>
              <w:caps/>
              <w:color w:val="2E74B5" w:themeColor="accent1" w:themeShade="BF"/>
              <w:sz w:val="64"/>
              <w:szCs w:val="64"/>
            </w:rPr>
            <w:t xml:space="preserve"> </w:t>
          </w:r>
        </w:p>
        <w:p w14:paraId="60A839F6" w14:textId="46C76F54" w:rsidR="00B355F3" w:rsidRPr="00581D7C" w:rsidRDefault="00B355F3" w:rsidP="00C627F3">
          <w:pPr>
            <w:jc w:val="right"/>
            <w:rPr>
              <w:caps/>
              <w:color w:val="2E74B5" w:themeColor="accent1" w:themeShade="BF"/>
              <w:sz w:val="56"/>
              <w:szCs w:val="56"/>
            </w:rPr>
          </w:pPr>
          <w:bookmarkStart w:id="4" w:name="_Toc33527982"/>
          <w:r w:rsidRPr="00581D7C">
            <w:rPr>
              <w:caps/>
              <w:color w:val="2E74B5" w:themeColor="accent1" w:themeShade="BF"/>
              <w:sz w:val="56"/>
              <w:szCs w:val="56"/>
            </w:rPr>
            <w:t>Disability Audit Tool</w:t>
          </w:r>
          <w:bookmarkEnd w:id="4"/>
        </w:p>
        <w:p w14:paraId="44F8C931" w14:textId="77777777" w:rsidR="00F000AF" w:rsidRPr="00581D7C" w:rsidRDefault="00F000AF" w:rsidP="00A720D2">
          <w:pPr>
            <w:rPr>
              <w:color w:val="2E74B5" w:themeColor="accent1" w:themeShade="BF"/>
              <w:sz w:val="32"/>
              <w:szCs w:val="32"/>
            </w:rPr>
          </w:pPr>
        </w:p>
        <w:p w14:paraId="6C06CB85" w14:textId="30D70C1F" w:rsidR="00A720D2" w:rsidRPr="00581D7C" w:rsidRDefault="00C627F3" w:rsidP="00A720D2">
          <w:pPr>
            <w:rPr>
              <w:caps/>
              <w:color w:val="2E74B5" w:themeColor="accent1" w:themeShade="BF"/>
              <w:sz w:val="32"/>
              <w:szCs w:val="32"/>
            </w:rPr>
          </w:pPr>
          <w:r w:rsidRPr="00581D7C">
            <w:rPr>
              <w:color w:val="2E74B5" w:themeColor="accent1" w:themeShade="BF"/>
              <w:sz w:val="32"/>
              <w:szCs w:val="32"/>
            </w:rPr>
            <w:t>P</w:t>
          </w:r>
          <w:r w:rsidR="001535B9" w:rsidRPr="00581D7C">
            <w:rPr>
              <w:color w:val="2E74B5" w:themeColor="accent1" w:themeShade="BF"/>
              <w:sz w:val="32"/>
              <w:szCs w:val="32"/>
            </w:rPr>
            <w:t>remises</w:t>
          </w:r>
        </w:p>
        <w:p w14:paraId="47C2CF88" w14:textId="1E731429" w:rsidR="00C627F3" w:rsidRPr="00581D7C" w:rsidRDefault="00DA52F9" w:rsidP="00A720D2">
          <w:pPr>
            <w:rPr>
              <w:caps/>
              <w:color w:val="2E74B5" w:themeColor="accent1" w:themeShade="BF"/>
              <w:sz w:val="32"/>
              <w:szCs w:val="32"/>
            </w:rPr>
          </w:pPr>
          <w:r w:rsidRPr="00581D7C">
            <w:rPr>
              <w:color w:val="2E74B5" w:themeColor="accent1" w:themeShade="BF"/>
              <w:sz w:val="32"/>
              <w:szCs w:val="32"/>
            </w:rPr>
            <w:t>Building Interior</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162D48C8" w14:textId="77777777" w:rsidR="004D5464" w:rsidRPr="004535A6" w:rsidRDefault="004D5464" w:rsidP="004D5464">
      <w:pPr>
        <w:pStyle w:val="Titre1"/>
        <w:spacing w:before="120" w:line="240" w:lineRule="auto"/>
        <w:rPr>
          <w:rFonts w:ascii="Calibri" w:hAnsi="Calibri" w:cs="Calibri"/>
        </w:rPr>
      </w:pPr>
      <w:bookmarkStart w:id="5" w:name="_Toc54772936"/>
      <w:bookmarkStart w:id="6" w:name="_Toc56608961"/>
      <w:r w:rsidRPr="004535A6">
        <w:rPr>
          <w:rFonts w:ascii="Calibri" w:hAnsi="Calibri" w:cs="Calibri"/>
        </w:rPr>
        <w:lastRenderedPageBreak/>
        <w:t>Women’s Health Services Disability Audit Tool</w:t>
      </w:r>
      <w:bookmarkEnd w:id="5"/>
      <w:bookmarkEnd w:id="6"/>
    </w:p>
    <w:p w14:paraId="624DE451" w14:textId="77777777" w:rsidR="004D5464" w:rsidRPr="005A216F" w:rsidRDefault="004D5464" w:rsidP="004D5464">
      <w:pPr>
        <w:pStyle w:val="Titre2"/>
        <w:spacing w:before="120" w:line="240" w:lineRule="auto"/>
        <w:rPr>
          <w:rFonts w:ascii="Calibri" w:hAnsi="Calibri" w:cs="Calibri"/>
          <w:sz w:val="22"/>
          <w:szCs w:val="22"/>
        </w:rPr>
      </w:pPr>
    </w:p>
    <w:p w14:paraId="613CD216" w14:textId="77777777" w:rsidR="004D5464" w:rsidRPr="004535A6" w:rsidRDefault="004D5464" w:rsidP="004D5464">
      <w:pPr>
        <w:pStyle w:val="Titre2"/>
        <w:spacing w:before="120" w:line="240" w:lineRule="auto"/>
        <w:rPr>
          <w:rFonts w:ascii="Calibri" w:hAnsi="Calibri" w:cs="Calibri"/>
        </w:rPr>
      </w:pPr>
      <w:bookmarkStart w:id="7" w:name="_Toc54772937"/>
      <w:bookmarkStart w:id="8" w:name="_Toc56608962"/>
      <w:r w:rsidRPr="004535A6">
        <w:rPr>
          <w:rFonts w:ascii="Calibri" w:hAnsi="Calibri" w:cs="Calibri"/>
        </w:rPr>
        <w:t>Acknowledgements</w:t>
      </w:r>
      <w:bookmarkEnd w:id="7"/>
      <w:bookmarkEnd w:id="8"/>
    </w:p>
    <w:p w14:paraId="75548DF3" w14:textId="77777777" w:rsidR="004D5464" w:rsidRPr="004535A6" w:rsidRDefault="004D5464" w:rsidP="004D5464">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47D69C10"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0F2DE429"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6E96C445"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28F480EE" w14:textId="77777777" w:rsidR="004D5464" w:rsidRPr="004535A6" w:rsidRDefault="004D5464" w:rsidP="004D5464">
      <w:pPr>
        <w:tabs>
          <w:tab w:val="left" w:pos="270"/>
        </w:tabs>
        <w:spacing w:before="120" w:after="0" w:line="240" w:lineRule="auto"/>
        <w:ind w:left="270" w:hanging="270"/>
        <w:rPr>
          <w:rFonts w:ascii="Calibri" w:hAnsi="Calibri" w:cs="Calibri"/>
        </w:rPr>
      </w:pPr>
    </w:p>
    <w:p w14:paraId="4702F9A9" w14:textId="77777777" w:rsidR="004D5464" w:rsidRPr="00A47C8D" w:rsidRDefault="004D5464" w:rsidP="004D5464">
      <w:pPr>
        <w:pStyle w:val="Titre2"/>
        <w:spacing w:before="120" w:after="120" w:line="240" w:lineRule="auto"/>
        <w:rPr>
          <w:rFonts w:asciiTheme="minorHAnsi" w:hAnsiTheme="minorHAnsi" w:cstheme="minorHAnsi"/>
        </w:rPr>
      </w:pPr>
      <w:bookmarkStart w:id="9" w:name="_Toc33018560"/>
      <w:bookmarkStart w:id="10" w:name="_Toc54772938"/>
      <w:bookmarkStart w:id="11" w:name="_Toc56608963"/>
      <w:r w:rsidRPr="00A47C8D">
        <w:rPr>
          <w:rFonts w:asciiTheme="minorHAnsi" w:hAnsiTheme="minorHAnsi" w:cstheme="minorHAnsi"/>
        </w:rPr>
        <w:t>Introduction</w:t>
      </w:r>
      <w:bookmarkEnd w:id="9"/>
      <w:bookmarkEnd w:id="10"/>
      <w:bookmarkEnd w:id="11"/>
    </w:p>
    <w:p w14:paraId="5830A202" w14:textId="77777777" w:rsidR="004D5464" w:rsidRPr="005A216F" w:rsidRDefault="004D5464" w:rsidP="004D5464">
      <w:pPr>
        <w:spacing w:after="0" w:line="240" w:lineRule="auto"/>
      </w:pPr>
      <w:r w:rsidRPr="005A216F">
        <w:t>Women with Disabilities Victoria (WDV) is the peak body of women with disabilities in Victoria.</w:t>
      </w:r>
    </w:p>
    <w:p w14:paraId="5CC409DB" w14:textId="77777777" w:rsidR="004D5464" w:rsidRDefault="004D5464" w:rsidP="004D5464">
      <w:pPr>
        <w:spacing w:after="0" w:line="240" w:lineRule="auto"/>
      </w:pPr>
    </w:p>
    <w:p w14:paraId="67BAFC4F" w14:textId="77777777" w:rsidR="004D5464" w:rsidRPr="005A216F" w:rsidRDefault="004D5464" w:rsidP="004D5464">
      <w:pPr>
        <w:spacing w:after="0" w:line="240" w:lineRule="auto"/>
      </w:pPr>
      <w:r w:rsidRPr="005A216F">
        <w:t>Women with Disabilities Victoria:</w:t>
      </w:r>
    </w:p>
    <w:p w14:paraId="0B6E562B"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22EC5F94"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611B6DD5"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74515FA4"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70CEF98E"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4F48BAD7"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3434A67E" w14:textId="77777777" w:rsidR="004D5464" w:rsidRPr="004535A6" w:rsidRDefault="004D5464" w:rsidP="00A47C8D">
      <w:pPr>
        <w:tabs>
          <w:tab w:val="left" w:pos="270"/>
        </w:tabs>
        <w:spacing w:before="120" w:after="0" w:line="240" w:lineRule="auto"/>
        <w:ind w:left="270" w:hanging="270"/>
        <w:rPr>
          <w:rFonts w:ascii="Calibri" w:hAnsi="Calibri" w:cs="Calibri"/>
        </w:rPr>
      </w:pPr>
    </w:p>
    <w:p w14:paraId="62E40830" w14:textId="77777777" w:rsidR="004D5464" w:rsidRPr="004535A6" w:rsidRDefault="004D5464" w:rsidP="004D5464">
      <w:pPr>
        <w:pStyle w:val="Titre2"/>
        <w:spacing w:before="120" w:line="240" w:lineRule="auto"/>
        <w:rPr>
          <w:rFonts w:ascii="Calibri" w:hAnsi="Calibri" w:cs="Calibri"/>
        </w:rPr>
      </w:pPr>
      <w:bookmarkStart w:id="12" w:name="_Toc54772939"/>
      <w:bookmarkStart w:id="13" w:name="_Toc56608964"/>
      <w:r w:rsidRPr="004535A6">
        <w:rPr>
          <w:rFonts w:ascii="Calibri" w:hAnsi="Calibri" w:cs="Calibri"/>
        </w:rPr>
        <w:t>Our Vision, Mission and Values</w:t>
      </w:r>
      <w:bookmarkEnd w:id="12"/>
      <w:bookmarkEnd w:id="13"/>
    </w:p>
    <w:p w14:paraId="63E22638" w14:textId="63F66836" w:rsidR="004D5464" w:rsidRPr="005708A8" w:rsidRDefault="004D5464" w:rsidP="005708A8">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75E11FD0" w14:textId="77777777" w:rsidR="004D5464" w:rsidRPr="005708A8" w:rsidRDefault="004D5464" w:rsidP="004D5464">
      <w:pPr>
        <w:spacing w:before="120" w:after="0" w:line="240" w:lineRule="auto"/>
        <w:rPr>
          <w:rFonts w:asciiTheme="majorHAnsi" w:hAnsiTheme="majorHAnsi" w:cstheme="majorHAnsi"/>
          <w:color w:val="2E74B5" w:themeColor="accent1" w:themeShade="BF"/>
          <w:sz w:val="24"/>
          <w:szCs w:val="24"/>
        </w:rPr>
      </w:pPr>
      <w:r w:rsidRPr="005708A8">
        <w:rPr>
          <w:rFonts w:asciiTheme="majorHAnsi" w:hAnsiTheme="majorHAnsi" w:cstheme="majorHAnsi"/>
          <w:color w:val="2E74B5" w:themeColor="accent1" w:themeShade="BF"/>
          <w:sz w:val="24"/>
          <w:szCs w:val="24"/>
        </w:rPr>
        <w:t>Our Vision</w:t>
      </w:r>
    </w:p>
    <w:p w14:paraId="67A73021" w14:textId="7F08C66A" w:rsidR="004D5464" w:rsidRPr="005708A8" w:rsidRDefault="004D5464" w:rsidP="005708A8">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13EE45A5" w14:textId="77777777" w:rsidR="004D5464" w:rsidRPr="005708A8" w:rsidRDefault="004D5464" w:rsidP="004D5464">
      <w:pPr>
        <w:spacing w:before="120" w:after="0" w:line="240" w:lineRule="auto"/>
        <w:rPr>
          <w:rFonts w:asciiTheme="majorHAnsi" w:hAnsiTheme="majorHAnsi" w:cstheme="majorHAnsi"/>
          <w:color w:val="2E74B5" w:themeColor="accent1" w:themeShade="BF"/>
          <w:sz w:val="24"/>
          <w:szCs w:val="24"/>
        </w:rPr>
      </w:pPr>
      <w:r w:rsidRPr="005708A8">
        <w:rPr>
          <w:rFonts w:asciiTheme="majorHAnsi" w:hAnsiTheme="majorHAnsi" w:cstheme="majorHAnsi"/>
          <w:color w:val="2E74B5" w:themeColor="accent1" w:themeShade="BF"/>
          <w:sz w:val="24"/>
          <w:szCs w:val="24"/>
        </w:rPr>
        <w:t>Our Mission</w:t>
      </w:r>
    </w:p>
    <w:p w14:paraId="36F294BF" w14:textId="77777777" w:rsidR="004D5464" w:rsidRPr="004535A6" w:rsidRDefault="004D5464" w:rsidP="004D5464">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13413A02"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485B114E"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68B3A81D" w14:textId="77777777" w:rsidR="004D5464" w:rsidRPr="004535A6"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4F454503" w14:textId="77777777" w:rsidR="004D5464" w:rsidRDefault="004D5464" w:rsidP="004D546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0EB0D8CE" w:rsidR="00D923DF" w:rsidRDefault="00D923DF" w:rsidP="00764E56">
      <w:pPr>
        <w:tabs>
          <w:tab w:val="left" w:pos="270"/>
        </w:tabs>
        <w:spacing w:before="120" w:after="0" w:line="240" w:lineRule="auto"/>
        <w:ind w:left="270" w:hanging="270"/>
        <w:rPr>
          <w:rFonts w:ascii="Calibri" w:hAnsi="Calibri" w:cs="Calibri"/>
        </w:rPr>
      </w:pPr>
    </w:p>
    <w:p w14:paraId="317A19E6" w14:textId="77777777" w:rsidR="005708A8" w:rsidRPr="004535A6" w:rsidRDefault="005708A8"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77E1D6A8" w14:textId="7A8CD4B0" w:rsidR="008708F5"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08961" w:history="1">
            <w:r w:rsidR="008708F5" w:rsidRPr="00E9722F">
              <w:rPr>
                <w:rStyle w:val="Lienhypertexte"/>
                <w:rFonts w:ascii="Calibri" w:hAnsi="Calibri" w:cs="Calibri"/>
                <w:noProof/>
              </w:rPr>
              <w:t>Women’s Health Services Disability Audit Tool</w:t>
            </w:r>
            <w:r w:rsidR="008708F5">
              <w:rPr>
                <w:noProof/>
                <w:webHidden/>
              </w:rPr>
              <w:tab/>
            </w:r>
            <w:r w:rsidR="008708F5">
              <w:rPr>
                <w:noProof/>
                <w:webHidden/>
              </w:rPr>
              <w:fldChar w:fldCharType="begin"/>
            </w:r>
            <w:r w:rsidR="008708F5">
              <w:rPr>
                <w:noProof/>
                <w:webHidden/>
              </w:rPr>
              <w:instrText xml:space="preserve"> PAGEREF _Toc56608961 \h </w:instrText>
            </w:r>
            <w:r w:rsidR="008708F5">
              <w:rPr>
                <w:noProof/>
                <w:webHidden/>
              </w:rPr>
            </w:r>
            <w:r w:rsidR="008708F5">
              <w:rPr>
                <w:noProof/>
                <w:webHidden/>
              </w:rPr>
              <w:fldChar w:fldCharType="separate"/>
            </w:r>
            <w:r w:rsidR="008708F5">
              <w:rPr>
                <w:noProof/>
                <w:webHidden/>
              </w:rPr>
              <w:t>2</w:t>
            </w:r>
            <w:r w:rsidR="008708F5">
              <w:rPr>
                <w:noProof/>
                <w:webHidden/>
              </w:rPr>
              <w:fldChar w:fldCharType="end"/>
            </w:r>
          </w:hyperlink>
        </w:p>
        <w:p w14:paraId="2DF4E82A" w14:textId="2A7084FF" w:rsidR="008708F5" w:rsidRDefault="00175C73" w:rsidP="00484BC9">
          <w:pPr>
            <w:pStyle w:val="TM2"/>
            <w:tabs>
              <w:tab w:val="right" w:leader="dot" w:pos="9736"/>
            </w:tabs>
            <w:ind w:left="0"/>
            <w:rPr>
              <w:rFonts w:eastAsiaTheme="minorEastAsia"/>
              <w:noProof/>
              <w:sz w:val="24"/>
              <w:szCs w:val="24"/>
              <w:lang w:val="fr-FR" w:eastAsia="fr-FR"/>
            </w:rPr>
          </w:pPr>
          <w:hyperlink w:anchor="_Toc56608962" w:history="1">
            <w:r w:rsidR="008708F5" w:rsidRPr="00E9722F">
              <w:rPr>
                <w:rStyle w:val="Lienhypertexte"/>
                <w:rFonts w:ascii="Calibri" w:hAnsi="Calibri" w:cs="Calibri"/>
                <w:noProof/>
              </w:rPr>
              <w:t>Acknowledgements</w:t>
            </w:r>
            <w:r w:rsidR="008708F5">
              <w:rPr>
                <w:noProof/>
                <w:webHidden/>
              </w:rPr>
              <w:tab/>
            </w:r>
            <w:r w:rsidR="008708F5">
              <w:rPr>
                <w:noProof/>
                <w:webHidden/>
              </w:rPr>
              <w:fldChar w:fldCharType="begin"/>
            </w:r>
            <w:r w:rsidR="008708F5">
              <w:rPr>
                <w:noProof/>
                <w:webHidden/>
              </w:rPr>
              <w:instrText xml:space="preserve"> PAGEREF _Toc56608962 \h </w:instrText>
            </w:r>
            <w:r w:rsidR="008708F5">
              <w:rPr>
                <w:noProof/>
                <w:webHidden/>
              </w:rPr>
            </w:r>
            <w:r w:rsidR="008708F5">
              <w:rPr>
                <w:noProof/>
                <w:webHidden/>
              </w:rPr>
              <w:fldChar w:fldCharType="separate"/>
            </w:r>
            <w:r w:rsidR="008708F5">
              <w:rPr>
                <w:noProof/>
                <w:webHidden/>
              </w:rPr>
              <w:t>2</w:t>
            </w:r>
            <w:r w:rsidR="008708F5">
              <w:rPr>
                <w:noProof/>
                <w:webHidden/>
              </w:rPr>
              <w:fldChar w:fldCharType="end"/>
            </w:r>
          </w:hyperlink>
        </w:p>
        <w:p w14:paraId="277B53EC" w14:textId="00175CEE" w:rsidR="008708F5" w:rsidRDefault="00175C73" w:rsidP="00484BC9">
          <w:pPr>
            <w:pStyle w:val="TM2"/>
            <w:tabs>
              <w:tab w:val="right" w:leader="dot" w:pos="9736"/>
            </w:tabs>
            <w:ind w:left="0"/>
            <w:rPr>
              <w:rFonts w:eastAsiaTheme="minorEastAsia"/>
              <w:noProof/>
              <w:sz w:val="24"/>
              <w:szCs w:val="24"/>
              <w:lang w:val="fr-FR" w:eastAsia="fr-FR"/>
            </w:rPr>
          </w:pPr>
          <w:hyperlink w:anchor="_Toc56608963" w:history="1">
            <w:r w:rsidR="008708F5" w:rsidRPr="00E9722F">
              <w:rPr>
                <w:rStyle w:val="Lienhypertexte"/>
                <w:noProof/>
              </w:rPr>
              <w:t>Introduction</w:t>
            </w:r>
            <w:r w:rsidR="008708F5">
              <w:rPr>
                <w:noProof/>
                <w:webHidden/>
              </w:rPr>
              <w:tab/>
            </w:r>
            <w:r w:rsidR="008708F5">
              <w:rPr>
                <w:noProof/>
                <w:webHidden/>
              </w:rPr>
              <w:fldChar w:fldCharType="begin"/>
            </w:r>
            <w:r w:rsidR="008708F5">
              <w:rPr>
                <w:noProof/>
                <w:webHidden/>
              </w:rPr>
              <w:instrText xml:space="preserve"> PAGEREF _Toc56608963 \h </w:instrText>
            </w:r>
            <w:r w:rsidR="008708F5">
              <w:rPr>
                <w:noProof/>
                <w:webHidden/>
              </w:rPr>
            </w:r>
            <w:r w:rsidR="008708F5">
              <w:rPr>
                <w:noProof/>
                <w:webHidden/>
              </w:rPr>
              <w:fldChar w:fldCharType="separate"/>
            </w:r>
            <w:r w:rsidR="008708F5">
              <w:rPr>
                <w:noProof/>
                <w:webHidden/>
              </w:rPr>
              <w:t>2</w:t>
            </w:r>
            <w:r w:rsidR="008708F5">
              <w:rPr>
                <w:noProof/>
                <w:webHidden/>
              </w:rPr>
              <w:fldChar w:fldCharType="end"/>
            </w:r>
          </w:hyperlink>
        </w:p>
        <w:p w14:paraId="414F5535" w14:textId="09289A4C" w:rsidR="008708F5" w:rsidRDefault="00175C73" w:rsidP="00484BC9">
          <w:pPr>
            <w:pStyle w:val="TM2"/>
            <w:tabs>
              <w:tab w:val="right" w:leader="dot" w:pos="9736"/>
            </w:tabs>
            <w:ind w:left="0"/>
            <w:rPr>
              <w:rFonts w:eastAsiaTheme="minorEastAsia"/>
              <w:noProof/>
              <w:sz w:val="24"/>
              <w:szCs w:val="24"/>
              <w:lang w:val="fr-FR" w:eastAsia="fr-FR"/>
            </w:rPr>
          </w:pPr>
          <w:hyperlink w:anchor="_Toc56608964" w:history="1">
            <w:r w:rsidR="008708F5" w:rsidRPr="00E9722F">
              <w:rPr>
                <w:rStyle w:val="Lienhypertexte"/>
                <w:rFonts w:ascii="Calibri" w:hAnsi="Calibri" w:cs="Calibri"/>
                <w:noProof/>
              </w:rPr>
              <w:t>Our Vision, Mission and Values</w:t>
            </w:r>
            <w:r w:rsidR="008708F5">
              <w:rPr>
                <w:noProof/>
                <w:webHidden/>
              </w:rPr>
              <w:tab/>
            </w:r>
            <w:r w:rsidR="008708F5">
              <w:rPr>
                <w:noProof/>
                <w:webHidden/>
              </w:rPr>
              <w:fldChar w:fldCharType="begin"/>
            </w:r>
            <w:r w:rsidR="008708F5">
              <w:rPr>
                <w:noProof/>
                <w:webHidden/>
              </w:rPr>
              <w:instrText xml:space="preserve"> PAGEREF _Toc56608964 \h </w:instrText>
            </w:r>
            <w:r w:rsidR="008708F5">
              <w:rPr>
                <w:noProof/>
                <w:webHidden/>
              </w:rPr>
            </w:r>
            <w:r w:rsidR="008708F5">
              <w:rPr>
                <w:noProof/>
                <w:webHidden/>
              </w:rPr>
              <w:fldChar w:fldCharType="separate"/>
            </w:r>
            <w:r w:rsidR="008708F5">
              <w:rPr>
                <w:noProof/>
                <w:webHidden/>
              </w:rPr>
              <w:t>2</w:t>
            </w:r>
            <w:r w:rsidR="008708F5">
              <w:rPr>
                <w:noProof/>
                <w:webHidden/>
              </w:rPr>
              <w:fldChar w:fldCharType="end"/>
            </w:r>
          </w:hyperlink>
        </w:p>
        <w:p w14:paraId="1B84AF3E" w14:textId="23303696" w:rsidR="008708F5" w:rsidRDefault="00175C73" w:rsidP="00484BC9">
          <w:pPr>
            <w:pStyle w:val="TM2"/>
            <w:tabs>
              <w:tab w:val="right" w:leader="dot" w:pos="9736"/>
            </w:tabs>
            <w:ind w:left="0"/>
            <w:rPr>
              <w:rFonts w:eastAsiaTheme="minorEastAsia"/>
              <w:noProof/>
              <w:sz w:val="24"/>
              <w:szCs w:val="24"/>
              <w:lang w:val="fr-FR" w:eastAsia="fr-FR"/>
            </w:rPr>
          </w:pPr>
          <w:hyperlink w:anchor="_Toc56608965" w:history="1">
            <w:r w:rsidR="008708F5" w:rsidRPr="00E9722F">
              <w:rPr>
                <w:rStyle w:val="Lienhypertexte"/>
                <w:rFonts w:ascii="Calibri" w:hAnsi="Calibri" w:cs="Calibri"/>
                <w:noProof/>
              </w:rPr>
              <w:t>Women with Disabilities Victoria’s Prevention of Violence Capacity Building Project</w:t>
            </w:r>
            <w:r w:rsidR="008708F5">
              <w:rPr>
                <w:noProof/>
                <w:webHidden/>
              </w:rPr>
              <w:tab/>
            </w:r>
            <w:r w:rsidR="008708F5">
              <w:rPr>
                <w:noProof/>
                <w:webHidden/>
              </w:rPr>
              <w:fldChar w:fldCharType="begin"/>
            </w:r>
            <w:r w:rsidR="008708F5">
              <w:rPr>
                <w:noProof/>
                <w:webHidden/>
              </w:rPr>
              <w:instrText xml:space="preserve"> PAGEREF _Toc56608965 \h </w:instrText>
            </w:r>
            <w:r w:rsidR="008708F5">
              <w:rPr>
                <w:noProof/>
                <w:webHidden/>
              </w:rPr>
            </w:r>
            <w:r w:rsidR="008708F5">
              <w:rPr>
                <w:noProof/>
                <w:webHidden/>
              </w:rPr>
              <w:fldChar w:fldCharType="separate"/>
            </w:r>
            <w:r w:rsidR="008708F5">
              <w:rPr>
                <w:noProof/>
                <w:webHidden/>
              </w:rPr>
              <w:t>4</w:t>
            </w:r>
            <w:r w:rsidR="008708F5">
              <w:rPr>
                <w:noProof/>
                <w:webHidden/>
              </w:rPr>
              <w:fldChar w:fldCharType="end"/>
            </w:r>
          </w:hyperlink>
        </w:p>
        <w:p w14:paraId="4C43A0F5" w14:textId="6702DA39" w:rsidR="008708F5" w:rsidRDefault="00175C73" w:rsidP="00484BC9">
          <w:pPr>
            <w:pStyle w:val="TM2"/>
            <w:tabs>
              <w:tab w:val="right" w:leader="dot" w:pos="9736"/>
            </w:tabs>
            <w:ind w:left="0"/>
            <w:rPr>
              <w:rFonts w:eastAsiaTheme="minorEastAsia"/>
              <w:noProof/>
              <w:sz w:val="24"/>
              <w:szCs w:val="24"/>
              <w:lang w:val="fr-FR" w:eastAsia="fr-FR"/>
            </w:rPr>
          </w:pPr>
          <w:hyperlink w:anchor="_Toc56608966" w:history="1">
            <w:r w:rsidR="008708F5" w:rsidRPr="00E9722F">
              <w:rPr>
                <w:rStyle w:val="Lienhypertexte"/>
                <w:rFonts w:ascii="Calibri" w:hAnsi="Calibri" w:cs="Calibri"/>
                <w:noProof/>
              </w:rPr>
              <w:t>Context</w:t>
            </w:r>
            <w:r w:rsidR="008708F5">
              <w:rPr>
                <w:noProof/>
                <w:webHidden/>
              </w:rPr>
              <w:tab/>
            </w:r>
            <w:r w:rsidR="008708F5">
              <w:rPr>
                <w:noProof/>
                <w:webHidden/>
              </w:rPr>
              <w:fldChar w:fldCharType="begin"/>
            </w:r>
            <w:r w:rsidR="008708F5">
              <w:rPr>
                <w:noProof/>
                <w:webHidden/>
              </w:rPr>
              <w:instrText xml:space="preserve"> PAGEREF _Toc56608966 \h </w:instrText>
            </w:r>
            <w:r w:rsidR="008708F5">
              <w:rPr>
                <w:noProof/>
                <w:webHidden/>
              </w:rPr>
            </w:r>
            <w:r w:rsidR="008708F5">
              <w:rPr>
                <w:noProof/>
                <w:webHidden/>
              </w:rPr>
              <w:fldChar w:fldCharType="separate"/>
            </w:r>
            <w:r w:rsidR="008708F5">
              <w:rPr>
                <w:noProof/>
                <w:webHidden/>
              </w:rPr>
              <w:t>4</w:t>
            </w:r>
            <w:r w:rsidR="008708F5">
              <w:rPr>
                <w:noProof/>
                <w:webHidden/>
              </w:rPr>
              <w:fldChar w:fldCharType="end"/>
            </w:r>
          </w:hyperlink>
        </w:p>
        <w:p w14:paraId="5982C320" w14:textId="2DACD4BA" w:rsidR="008708F5" w:rsidRDefault="00175C73" w:rsidP="00484BC9">
          <w:pPr>
            <w:pStyle w:val="TM2"/>
            <w:tabs>
              <w:tab w:val="right" w:leader="dot" w:pos="9736"/>
            </w:tabs>
            <w:ind w:left="0"/>
            <w:rPr>
              <w:rFonts w:eastAsiaTheme="minorEastAsia"/>
              <w:noProof/>
              <w:sz w:val="24"/>
              <w:szCs w:val="24"/>
              <w:lang w:val="fr-FR" w:eastAsia="fr-FR"/>
            </w:rPr>
          </w:pPr>
          <w:hyperlink w:anchor="_Toc56608967" w:history="1">
            <w:r w:rsidR="008708F5" w:rsidRPr="00E9722F">
              <w:rPr>
                <w:rStyle w:val="Lienhypertexte"/>
                <w:rFonts w:ascii="Calibri" w:hAnsi="Calibri" w:cs="Calibri"/>
                <w:noProof/>
              </w:rPr>
              <w:t>Key Facts About Disability and Gender</w:t>
            </w:r>
            <w:r w:rsidR="008708F5">
              <w:rPr>
                <w:noProof/>
                <w:webHidden/>
              </w:rPr>
              <w:tab/>
            </w:r>
            <w:r w:rsidR="008708F5">
              <w:rPr>
                <w:noProof/>
                <w:webHidden/>
              </w:rPr>
              <w:fldChar w:fldCharType="begin"/>
            </w:r>
            <w:r w:rsidR="008708F5">
              <w:rPr>
                <w:noProof/>
                <w:webHidden/>
              </w:rPr>
              <w:instrText xml:space="preserve"> PAGEREF _Toc56608967 \h </w:instrText>
            </w:r>
            <w:r w:rsidR="008708F5">
              <w:rPr>
                <w:noProof/>
                <w:webHidden/>
              </w:rPr>
            </w:r>
            <w:r w:rsidR="008708F5">
              <w:rPr>
                <w:noProof/>
                <w:webHidden/>
              </w:rPr>
              <w:fldChar w:fldCharType="separate"/>
            </w:r>
            <w:r w:rsidR="008708F5">
              <w:rPr>
                <w:noProof/>
                <w:webHidden/>
              </w:rPr>
              <w:t>5</w:t>
            </w:r>
            <w:r w:rsidR="008708F5">
              <w:rPr>
                <w:noProof/>
                <w:webHidden/>
              </w:rPr>
              <w:fldChar w:fldCharType="end"/>
            </w:r>
          </w:hyperlink>
        </w:p>
        <w:p w14:paraId="08848097" w14:textId="29DABA46" w:rsidR="008708F5" w:rsidRDefault="00175C73" w:rsidP="00484BC9">
          <w:pPr>
            <w:pStyle w:val="TM2"/>
            <w:tabs>
              <w:tab w:val="right" w:leader="dot" w:pos="9736"/>
            </w:tabs>
            <w:ind w:left="0"/>
            <w:rPr>
              <w:rFonts w:eastAsiaTheme="minorEastAsia"/>
              <w:noProof/>
              <w:sz w:val="24"/>
              <w:szCs w:val="24"/>
              <w:lang w:val="fr-FR" w:eastAsia="fr-FR"/>
            </w:rPr>
          </w:pPr>
          <w:hyperlink w:anchor="_Toc56608968" w:history="1">
            <w:r w:rsidR="008708F5" w:rsidRPr="00E9722F">
              <w:rPr>
                <w:rStyle w:val="Lienhypertexte"/>
                <w:rFonts w:ascii="Calibri" w:hAnsi="Calibri" w:cs="Calibri"/>
                <w:noProof/>
              </w:rPr>
              <w:t>Who Are Women with Disabilities?</w:t>
            </w:r>
            <w:r w:rsidR="008708F5">
              <w:rPr>
                <w:noProof/>
                <w:webHidden/>
              </w:rPr>
              <w:tab/>
            </w:r>
            <w:r w:rsidR="008708F5">
              <w:rPr>
                <w:noProof/>
                <w:webHidden/>
              </w:rPr>
              <w:fldChar w:fldCharType="begin"/>
            </w:r>
            <w:r w:rsidR="008708F5">
              <w:rPr>
                <w:noProof/>
                <w:webHidden/>
              </w:rPr>
              <w:instrText xml:space="preserve"> PAGEREF _Toc56608968 \h </w:instrText>
            </w:r>
            <w:r w:rsidR="008708F5">
              <w:rPr>
                <w:noProof/>
                <w:webHidden/>
              </w:rPr>
            </w:r>
            <w:r w:rsidR="008708F5">
              <w:rPr>
                <w:noProof/>
                <w:webHidden/>
              </w:rPr>
              <w:fldChar w:fldCharType="separate"/>
            </w:r>
            <w:r w:rsidR="008708F5">
              <w:rPr>
                <w:noProof/>
                <w:webHidden/>
              </w:rPr>
              <w:t>5</w:t>
            </w:r>
            <w:r w:rsidR="008708F5">
              <w:rPr>
                <w:noProof/>
                <w:webHidden/>
              </w:rPr>
              <w:fldChar w:fldCharType="end"/>
            </w:r>
          </w:hyperlink>
        </w:p>
        <w:p w14:paraId="5E45CBCA" w14:textId="1EA52665" w:rsidR="008708F5" w:rsidRDefault="00175C73" w:rsidP="00484BC9">
          <w:pPr>
            <w:pStyle w:val="TM2"/>
            <w:tabs>
              <w:tab w:val="right" w:leader="dot" w:pos="9736"/>
            </w:tabs>
            <w:ind w:left="0"/>
            <w:rPr>
              <w:rFonts w:eastAsiaTheme="minorEastAsia"/>
              <w:noProof/>
              <w:sz w:val="24"/>
              <w:szCs w:val="24"/>
              <w:lang w:val="fr-FR" w:eastAsia="fr-FR"/>
            </w:rPr>
          </w:pPr>
          <w:hyperlink w:anchor="_Toc56608969" w:history="1">
            <w:r w:rsidR="008708F5" w:rsidRPr="00E9722F">
              <w:rPr>
                <w:rStyle w:val="Lienhypertexte"/>
                <w:rFonts w:ascii="Calibri" w:hAnsi="Calibri" w:cs="Calibri"/>
                <w:noProof/>
              </w:rPr>
              <w:t>What Barriers Do We Face?</w:t>
            </w:r>
            <w:r w:rsidR="008708F5">
              <w:rPr>
                <w:noProof/>
                <w:webHidden/>
              </w:rPr>
              <w:tab/>
            </w:r>
            <w:r w:rsidR="008708F5">
              <w:rPr>
                <w:noProof/>
                <w:webHidden/>
              </w:rPr>
              <w:fldChar w:fldCharType="begin"/>
            </w:r>
            <w:r w:rsidR="008708F5">
              <w:rPr>
                <w:noProof/>
                <w:webHidden/>
              </w:rPr>
              <w:instrText xml:space="preserve"> PAGEREF _Toc56608969 \h </w:instrText>
            </w:r>
            <w:r w:rsidR="008708F5">
              <w:rPr>
                <w:noProof/>
                <w:webHidden/>
              </w:rPr>
            </w:r>
            <w:r w:rsidR="008708F5">
              <w:rPr>
                <w:noProof/>
                <w:webHidden/>
              </w:rPr>
              <w:fldChar w:fldCharType="separate"/>
            </w:r>
            <w:r w:rsidR="008708F5">
              <w:rPr>
                <w:noProof/>
                <w:webHidden/>
              </w:rPr>
              <w:t>5</w:t>
            </w:r>
            <w:r w:rsidR="008708F5">
              <w:rPr>
                <w:noProof/>
                <w:webHidden/>
              </w:rPr>
              <w:fldChar w:fldCharType="end"/>
            </w:r>
          </w:hyperlink>
        </w:p>
        <w:p w14:paraId="36A7E14B" w14:textId="34451D39" w:rsidR="008708F5" w:rsidRDefault="00175C73" w:rsidP="00484BC9">
          <w:pPr>
            <w:pStyle w:val="TM2"/>
            <w:tabs>
              <w:tab w:val="right" w:leader="dot" w:pos="9736"/>
            </w:tabs>
            <w:ind w:left="0"/>
            <w:rPr>
              <w:rFonts w:eastAsiaTheme="minorEastAsia"/>
              <w:noProof/>
              <w:sz w:val="24"/>
              <w:szCs w:val="24"/>
              <w:lang w:val="fr-FR" w:eastAsia="fr-FR"/>
            </w:rPr>
          </w:pPr>
          <w:hyperlink w:anchor="_Toc56608970" w:history="1">
            <w:r w:rsidR="008708F5" w:rsidRPr="00E9722F">
              <w:rPr>
                <w:rStyle w:val="Lienhypertexte"/>
                <w:rFonts w:ascii="Calibri" w:hAnsi="Calibri" w:cs="Calibri"/>
                <w:noProof/>
              </w:rPr>
              <w:t>Key Facts About Disability and Violence Against Women</w:t>
            </w:r>
            <w:r w:rsidR="008708F5">
              <w:rPr>
                <w:noProof/>
                <w:webHidden/>
              </w:rPr>
              <w:tab/>
            </w:r>
            <w:r w:rsidR="008708F5">
              <w:rPr>
                <w:noProof/>
                <w:webHidden/>
              </w:rPr>
              <w:fldChar w:fldCharType="begin"/>
            </w:r>
            <w:r w:rsidR="008708F5">
              <w:rPr>
                <w:noProof/>
                <w:webHidden/>
              </w:rPr>
              <w:instrText xml:space="preserve"> PAGEREF _Toc56608970 \h </w:instrText>
            </w:r>
            <w:r w:rsidR="008708F5">
              <w:rPr>
                <w:noProof/>
                <w:webHidden/>
              </w:rPr>
            </w:r>
            <w:r w:rsidR="008708F5">
              <w:rPr>
                <w:noProof/>
                <w:webHidden/>
              </w:rPr>
              <w:fldChar w:fldCharType="separate"/>
            </w:r>
            <w:r w:rsidR="008708F5">
              <w:rPr>
                <w:noProof/>
                <w:webHidden/>
              </w:rPr>
              <w:t>5</w:t>
            </w:r>
            <w:r w:rsidR="008708F5">
              <w:rPr>
                <w:noProof/>
                <w:webHidden/>
              </w:rPr>
              <w:fldChar w:fldCharType="end"/>
            </w:r>
          </w:hyperlink>
        </w:p>
        <w:p w14:paraId="617ADD13" w14:textId="7C0CEE23" w:rsidR="008708F5" w:rsidRDefault="00175C73" w:rsidP="00484BC9">
          <w:pPr>
            <w:pStyle w:val="TM2"/>
            <w:tabs>
              <w:tab w:val="right" w:leader="dot" w:pos="9736"/>
            </w:tabs>
            <w:ind w:left="0"/>
            <w:rPr>
              <w:rFonts w:eastAsiaTheme="minorEastAsia"/>
              <w:noProof/>
              <w:sz w:val="24"/>
              <w:szCs w:val="24"/>
              <w:lang w:val="fr-FR" w:eastAsia="fr-FR"/>
            </w:rPr>
          </w:pPr>
          <w:hyperlink w:anchor="_Toc56608971" w:history="1">
            <w:r w:rsidR="008708F5" w:rsidRPr="00E9722F">
              <w:rPr>
                <w:rStyle w:val="Lienhypertexte"/>
                <w:rFonts w:ascii="Calibri" w:hAnsi="Calibri" w:cs="Calibri"/>
                <w:noProof/>
              </w:rPr>
              <w:t>The Women’s Health Services Disability Audit Tool</w:t>
            </w:r>
            <w:r w:rsidR="008708F5">
              <w:rPr>
                <w:noProof/>
                <w:webHidden/>
              </w:rPr>
              <w:tab/>
            </w:r>
            <w:r w:rsidR="008708F5">
              <w:rPr>
                <w:noProof/>
                <w:webHidden/>
              </w:rPr>
              <w:fldChar w:fldCharType="begin"/>
            </w:r>
            <w:r w:rsidR="008708F5">
              <w:rPr>
                <w:noProof/>
                <w:webHidden/>
              </w:rPr>
              <w:instrText xml:space="preserve"> PAGEREF _Toc56608971 \h </w:instrText>
            </w:r>
            <w:r w:rsidR="008708F5">
              <w:rPr>
                <w:noProof/>
                <w:webHidden/>
              </w:rPr>
            </w:r>
            <w:r w:rsidR="008708F5">
              <w:rPr>
                <w:noProof/>
                <w:webHidden/>
              </w:rPr>
              <w:fldChar w:fldCharType="separate"/>
            </w:r>
            <w:r w:rsidR="008708F5">
              <w:rPr>
                <w:noProof/>
                <w:webHidden/>
              </w:rPr>
              <w:t>6</w:t>
            </w:r>
            <w:r w:rsidR="008708F5">
              <w:rPr>
                <w:noProof/>
                <w:webHidden/>
              </w:rPr>
              <w:fldChar w:fldCharType="end"/>
            </w:r>
          </w:hyperlink>
        </w:p>
        <w:p w14:paraId="41801225" w14:textId="796FDE73" w:rsidR="008708F5" w:rsidRDefault="00175C73" w:rsidP="00484BC9">
          <w:pPr>
            <w:pStyle w:val="TM3"/>
            <w:tabs>
              <w:tab w:val="right" w:leader="dot" w:pos="9736"/>
            </w:tabs>
            <w:ind w:left="0"/>
            <w:rPr>
              <w:rFonts w:eastAsiaTheme="minorEastAsia"/>
              <w:noProof/>
              <w:sz w:val="24"/>
              <w:szCs w:val="24"/>
              <w:lang w:val="fr-FR" w:eastAsia="fr-FR"/>
            </w:rPr>
          </w:pPr>
          <w:hyperlink w:anchor="_Toc56608972" w:history="1">
            <w:r w:rsidR="008708F5" w:rsidRPr="00E9722F">
              <w:rPr>
                <w:rStyle w:val="Lienhypertexte"/>
                <w:rFonts w:ascii="Calibri" w:hAnsi="Calibri" w:cs="Calibri"/>
                <w:noProof/>
              </w:rPr>
              <w:t>Guiding Principles</w:t>
            </w:r>
            <w:r w:rsidR="008708F5">
              <w:rPr>
                <w:noProof/>
                <w:webHidden/>
              </w:rPr>
              <w:tab/>
            </w:r>
            <w:r w:rsidR="008708F5">
              <w:rPr>
                <w:noProof/>
                <w:webHidden/>
              </w:rPr>
              <w:fldChar w:fldCharType="begin"/>
            </w:r>
            <w:r w:rsidR="008708F5">
              <w:rPr>
                <w:noProof/>
                <w:webHidden/>
              </w:rPr>
              <w:instrText xml:space="preserve"> PAGEREF _Toc56608972 \h </w:instrText>
            </w:r>
            <w:r w:rsidR="008708F5">
              <w:rPr>
                <w:noProof/>
                <w:webHidden/>
              </w:rPr>
            </w:r>
            <w:r w:rsidR="008708F5">
              <w:rPr>
                <w:noProof/>
                <w:webHidden/>
              </w:rPr>
              <w:fldChar w:fldCharType="separate"/>
            </w:r>
            <w:r w:rsidR="008708F5">
              <w:rPr>
                <w:noProof/>
                <w:webHidden/>
              </w:rPr>
              <w:t>6</w:t>
            </w:r>
            <w:r w:rsidR="008708F5">
              <w:rPr>
                <w:noProof/>
                <w:webHidden/>
              </w:rPr>
              <w:fldChar w:fldCharType="end"/>
            </w:r>
          </w:hyperlink>
        </w:p>
        <w:p w14:paraId="6944F306" w14:textId="056E0917" w:rsidR="008708F5" w:rsidRDefault="00175C73" w:rsidP="00484BC9">
          <w:pPr>
            <w:pStyle w:val="TM3"/>
            <w:tabs>
              <w:tab w:val="right" w:leader="dot" w:pos="9736"/>
            </w:tabs>
            <w:ind w:left="0"/>
            <w:rPr>
              <w:rFonts w:eastAsiaTheme="minorEastAsia"/>
              <w:noProof/>
              <w:sz w:val="24"/>
              <w:szCs w:val="24"/>
              <w:lang w:val="fr-FR" w:eastAsia="fr-FR"/>
            </w:rPr>
          </w:pPr>
          <w:hyperlink w:anchor="_Toc56608973" w:history="1">
            <w:r w:rsidR="008708F5" w:rsidRPr="00E9722F">
              <w:rPr>
                <w:rStyle w:val="Lienhypertexte"/>
                <w:rFonts w:ascii="Calibri" w:hAnsi="Calibri" w:cs="Calibri"/>
                <w:noProof/>
              </w:rPr>
              <w:t>Audit Scope</w:t>
            </w:r>
            <w:r w:rsidR="008708F5">
              <w:rPr>
                <w:noProof/>
                <w:webHidden/>
              </w:rPr>
              <w:tab/>
            </w:r>
            <w:r w:rsidR="008708F5">
              <w:rPr>
                <w:noProof/>
                <w:webHidden/>
              </w:rPr>
              <w:fldChar w:fldCharType="begin"/>
            </w:r>
            <w:r w:rsidR="008708F5">
              <w:rPr>
                <w:noProof/>
                <w:webHidden/>
              </w:rPr>
              <w:instrText xml:space="preserve"> PAGEREF _Toc56608973 \h </w:instrText>
            </w:r>
            <w:r w:rsidR="008708F5">
              <w:rPr>
                <w:noProof/>
                <w:webHidden/>
              </w:rPr>
            </w:r>
            <w:r w:rsidR="008708F5">
              <w:rPr>
                <w:noProof/>
                <w:webHidden/>
              </w:rPr>
              <w:fldChar w:fldCharType="separate"/>
            </w:r>
            <w:r w:rsidR="008708F5">
              <w:rPr>
                <w:noProof/>
                <w:webHidden/>
              </w:rPr>
              <w:t>7</w:t>
            </w:r>
            <w:r w:rsidR="008708F5">
              <w:rPr>
                <w:noProof/>
                <w:webHidden/>
              </w:rPr>
              <w:fldChar w:fldCharType="end"/>
            </w:r>
          </w:hyperlink>
        </w:p>
        <w:p w14:paraId="152C285D" w14:textId="5DFBED4E" w:rsidR="008708F5" w:rsidRDefault="00175C73" w:rsidP="00484BC9">
          <w:pPr>
            <w:pStyle w:val="TM3"/>
            <w:tabs>
              <w:tab w:val="right" w:leader="dot" w:pos="9736"/>
            </w:tabs>
            <w:ind w:left="0"/>
            <w:rPr>
              <w:rFonts w:eastAsiaTheme="minorEastAsia"/>
              <w:noProof/>
              <w:sz w:val="24"/>
              <w:szCs w:val="24"/>
              <w:lang w:val="fr-FR" w:eastAsia="fr-FR"/>
            </w:rPr>
          </w:pPr>
          <w:hyperlink w:anchor="_Toc56608974" w:history="1">
            <w:r w:rsidR="008708F5" w:rsidRPr="00E9722F">
              <w:rPr>
                <w:rStyle w:val="Lienhypertexte"/>
                <w:rFonts w:ascii="Calibri" w:hAnsi="Calibri" w:cs="Calibri"/>
                <w:noProof/>
              </w:rPr>
              <w:t>Data Collection and Presentation</w:t>
            </w:r>
            <w:r w:rsidR="008708F5">
              <w:rPr>
                <w:noProof/>
                <w:webHidden/>
              </w:rPr>
              <w:tab/>
            </w:r>
            <w:r w:rsidR="008708F5">
              <w:rPr>
                <w:noProof/>
                <w:webHidden/>
              </w:rPr>
              <w:fldChar w:fldCharType="begin"/>
            </w:r>
            <w:r w:rsidR="008708F5">
              <w:rPr>
                <w:noProof/>
                <w:webHidden/>
              </w:rPr>
              <w:instrText xml:space="preserve"> PAGEREF _Toc56608974 \h </w:instrText>
            </w:r>
            <w:r w:rsidR="008708F5">
              <w:rPr>
                <w:noProof/>
                <w:webHidden/>
              </w:rPr>
            </w:r>
            <w:r w:rsidR="008708F5">
              <w:rPr>
                <w:noProof/>
                <w:webHidden/>
              </w:rPr>
              <w:fldChar w:fldCharType="separate"/>
            </w:r>
            <w:r w:rsidR="008708F5">
              <w:rPr>
                <w:noProof/>
                <w:webHidden/>
              </w:rPr>
              <w:t>8</w:t>
            </w:r>
            <w:r w:rsidR="008708F5">
              <w:rPr>
                <w:noProof/>
                <w:webHidden/>
              </w:rPr>
              <w:fldChar w:fldCharType="end"/>
            </w:r>
          </w:hyperlink>
        </w:p>
        <w:p w14:paraId="5A1542F0" w14:textId="506B996C" w:rsidR="008708F5" w:rsidRDefault="00175C73" w:rsidP="00484BC9">
          <w:pPr>
            <w:pStyle w:val="TM3"/>
            <w:tabs>
              <w:tab w:val="right" w:leader="dot" w:pos="9736"/>
            </w:tabs>
            <w:ind w:left="0"/>
            <w:rPr>
              <w:rFonts w:eastAsiaTheme="minorEastAsia"/>
              <w:noProof/>
              <w:sz w:val="24"/>
              <w:szCs w:val="24"/>
              <w:lang w:val="fr-FR" w:eastAsia="fr-FR"/>
            </w:rPr>
          </w:pPr>
          <w:hyperlink w:anchor="_Toc56608975" w:history="1">
            <w:r w:rsidR="008708F5" w:rsidRPr="00E9722F">
              <w:rPr>
                <w:rStyle w:val="Lienhypertexte"/>
                <w:rFonts w:ascii="Calibri" w:hAnsi="Calibri" w:cs="Calibri"/>
                <w:noProof/>
              </w:rPr>
              <w:t>Audit Instructions</w:t>
            </w:r>
            <w:r w:rsidR="008708F5">
              <w:rPr>
                <w:noProof/>
                <w:webHidden/>
              </w:rPr>
              <w:tab/>
            </w:r>
            <w:r w:rsidR="008708F5">
              <w:rPr>
                <w:noProof/>
                <w:webHidden/>
              </w:rPr>
              <w:fldChar w:fldCharType="begin"/>
            </w:r>
            <w:r w:rsidR="008708F5">
              <w:rPr>
                <w:noProof/>
                <w:webHidden/>
              </w:rPr>
              <w:instrText xml:space="preserve"> PAGEREF _Toc56608975 \h </w:instrText>
            </w:r>
            <w:r w:rsidR="008708F5">
              <w:rPr>
                <w:noProof/>
                <w:webHidden/>
              </w:rPr>
            </w:r>
            <w:r w:rsidR="008708F5">
              <w:rPr>
                <w:noProof/>
                <w:webHidden/>
              </w:rPr>
              <w:fldChar w:fldCharType="separate"/>
            </w:r>
            <w:r w:rsidR="008708F5">
              <w:rPr>
                <w:noProof/>
                <w:webHidden/>
              </w:rPr>
              <w:t>8</w:t>
            </w:r>
            <w:r w:rsidR="008708F5">
              <w:rPr>
                <w:noProof/>
                <w:webHidden/>
              </w:rPr>
              <w:fldChar w:fldCharType="end"/>
            </w:r>
          </w:hyperlink>
        </w:p>
        <w:p w14:paraId="7CB5D224" w14:textId="01611576" w:rsidR="008708F5" w:rsidRDefault="00175C73" w:rsidP="00484BC9">
          <w:pPr>
            <w:pStyle w:val="TM2"/>
            <w:tabs>
              <w:tab w:val="right" w:leader="dot" w:pos="9736"/>
            </w:tabs>
            <w:ind w:left="0"/>
            <w:rPr>
              <w:rFonts w:eastAsiaTheme="minorEastAsia"/>
              <w:noProof/>
              <w:sz w:val="24"/>
              <w:szCs w:val="24"/>
              <w:lang w:val="fr-FR" w:eastAsia="fr-FR"/>
            </w:rPr>
          </w:pPr>
          <w:hyperlink w:anchor="_Toc56608976" w:history="1">
            <w:r w:rsidR="008708F5" w:rsidRPr="00E9722F">
              <w:rPr>
                <w:rStyle w:val="Lienhypertexte"/>
                <w:rFonts w:cstheme="majorHAnsi"/>
                <w:noProof/>
              </w:rPr>
              <w:t>Prevention of Violence Against Women Disability Audit</w:t>
            </w:r>
            <w:r w:rsidR="008708F5">
              <w:rPr>
                <w:noProof/>
                <w:webHidden/>
              </w:rPr>
              <w:tab/>
            </w:r>
            <w:r w:rsidR="008708F5">
              <w:rPr>
                <w:noProof/>
                <w:webHidden/>
              </w:rPr>
              <w:fldChar w:fldCharType="begin"/>
            </w:r>
            <w:r w:rsidR="008708F5">
              <w:rPr>
                <w:noProof/>
                <w:webHidden/>
              </w:rPr>
              <w:instrText xml:space="preserve"> PAGEREF _Toc56608976 \h </w:instrText>
            </w:r>
            <w:r w:rsidR="008708F5">
              <w:rPr>
                <w:noProof/>
                <w:webHidden/>
              </w:rPr>
            </w:r>
            <w:r w:rsidR="008708F5">
              <w:rPr>
                <w:noProof/>
                <w:webHidden/>
              </w:rPr>
              <w:fldChar w:fldCharType="separate"/>
            </w:r>
            <w:r w:rsidR="008708F5">
              <w:rPr>
                <w:noProof/>
                <w:webHidden/>
              </w:rPr>
              <w:t>9</w:t>
            </w:r>
            <w:r w:rsidR="008708F5">
              <w:rPr>
                <w:noProof/>
                <w:webHidden/>
              </w:rPr>
              <w:fldChar w:fldCharType="end"/>
            </w:r>
          </w:hyperlink>
        </w:p>
        <w:p w14:paraId="664BB0ED" w14:textId="3FD8CC93" w:rsidR="008708F5" w:rsidRDefault="00175C73" w:rsidP="00484BC9">
          <w:pPr>
            <w:pStyle w:val="TM3"/>
            <w:tabs>
              <w:tab w:val="right" w:leader="dot" w:pos="9736"/>
            </w:tabs>
            <w:ind w:left="0"/>
            <w:rPr>
              <w:rFonts w:eastAsiaTheme="minorEastAsia"/>
              <w:noProof/>
              <w:sz w:val="24"/>
              <w:szCs w:val="24"/>
              <w:lang w:val="fr-FR" w:eastAsia="fr-FR"/>
            </w:rPr>
          </w:pPr>
          <w:hyperlink w:anchor="_Toc56608977" w:history="1">
            <w:r w:rsidR="008708F5" w:rsidRPr="00E9722F">
              <w:rPr>
                <w:rStyle w:val="Lienhypertexte"/>
                <w:noProof/>
              </w:rPr>
              <w:t>Premises</w:t>
            </w:r>
            <w:r w:rsidR="008708F5">
              <w:rPr>
                <w:noProof/>
                <w:webHidden/>
              </w:rPr>
              <w:tab/>
            </w:r>
            <w:r w:rsidR="008708F5">
              <w:rPr>
                <w:noProof/>
                <w:webHidden/>
              </w:rPr>
              <w:fldChar w:fldCharType="begin"/>
            </w:r>
            <w:r w:rsidR="008708F5">
              <w:rPr>
                <w:noProof/>
                <w:webHidden/>
              </w:rPr>
              <w:instrText xml:space="preserve"> PAGEREF _Toc56608977 \h </w:instrText>
            </w:r>
            <w:r w:rsidR="008708F5">
              <w:rPr>
                <w:noProof/>
                <w:webHidden/>
              </w:rPr>
            </w:r>
            <w:r w:rsidR="008708F5">
              <w:rPr>
                <w:noProof/>
                <w:webHidden/>
              </w:rPr>
              <w:fldChar w:fldCharType="separate"/>
            </w:r>
            <w:r w:rsidR="008708F5">
              <w:rPr>
                <w:noProof/>
                <w:webHidden/>
              </w:rPr>
              <w:t>9</w:t>
            </w:r>
            <w:r w:rsidR="008708F5">
              <w:rPr>
                <w:noProof/>
                <w:webHidden/>
              </w:rPr>
              <w:fldChar w:fldCharType="end"/>
            </w:r>
          </w:hyperlink>
        </w:p>
        <w:p w14:paraId="00CF6C10" w14:textId="03428387" w:rsidR="008708F5" w:rsidRDefault="00175C73" w:rsidP="00484BC9">
          <w:pPr>
            <w:pStyle w:val="TM3"/>
            <w:tabs>
              <w:tab w:val="right" w:leader="dot" w:pos="9736"/>
            </w:tabs>
            <w:ind w:left="0"/>
            <w:rPr>
              <w:rFonts w:eastAsiaTheme="minorEastAsia"/>
              <w:noProof/>
              <w:sz w:val="24"/>
              <w:szCs w:val="24"/>
              <w:lang w:val="fr-FR" w:eastAsia="fr-FR"/>
            </w:rPr>
          </w:pPr>
          <w:hyperlink w:anchor="_Toc56608978" w:history="1">
            <w:r w:rsidR="008708F5" w:rsidRPr="00E9722F">
              <w:rPr>
                <w:rStyle w:val="Lienhypertexte"/>
                <w:noProof/>
              </w:rPr>
              <w:t>Building Interior</w:t>
            </w:r>
            <w:r w:rsidR="008708F5">
              <w:rPr>
                <w:noProof/>
                <w:webHidden/>
              </w:rPr>
              <w:tab/>
            </w:r>
            <w:r w:rsidR="008708F5">
              <w:rPr>
                <w:noProof/>
                <w:webHidden/>
              </w:rPr>
              <w:fldChar w:fldCharType="begin"/>
            </w:r>
            <w:r w:rsidR="008708F5">
              <w:rPr>
                <w:noProof/>
                <w:webHidden/>
              </w:rPr>
              <w:instrText xml:space="preserve"> PAGEREF _Toc56608978 \h </w:instrText>
            </w:r>
            <w:r w:rsidR="008708F5">
              <w:rPr>
                <w:noProof/>
                <w:webHidden/>
              </w:rPr>
            </w:r>
            <w:r w:rsidR="008708F5">
              <w:rPr>
                <w:noProof/>
                <w:webHidden/>
              </w:rPr>
              <w:fldChar w:fldCharType="separate"/>
            </w:r>
            <w:r w:rsidR="008708F5">
              <w:rPr>
                <w:noProof/>
                <w:webHidden/>
              </w:rPr>
              <w:t>9</w:t>
            </w:r>
            <w:r w:rsidR="008708F5">
              <w:rPr>
                <w:noProof/>
                <w:webHidden/>
              </w:rPr>
              <w:fldChar w:fldCharType="end"/>
            </w:r>
          </w:hyperlink>
        </w:p>
        <w:p w14:paraId="30714DDF" w14:textId="697D86AD" w:rsidR="008708F5" w:rsidRDefault="00175C73" w:rsidP="00484BC9">
          <w:pPr>
            <w:pStyle w:val="TM3"/>
            <w:tabs>
              <w:tab w:val="right" w:leader="dot" w:pos="9736"/>
            </w:tabs>
            <w:ind w:left="0"/>
            <w:rPr>
              <w:rFonts w:eastAsiaTheme="minorEastAsia"/>
              <w:noProof/>
              <w:sz w:val="24"/>
              <w:szCs w:val="24"/>
              <w:lang w:val="fr-FR" w:eastAsia="fr-FR"/>
            </w:rPr>
          </w:pPr>
          <w:hyperlink w:anchor="_Toc56608979" w:history="1">
            <w:r w:rsidR="008708F5" w:rsidRPr="00E9722F">
              <w:rPr>
                <w:rStyle w:val="Lienhypertexte"/>
                <w:rFonts w:cstheme="majorHAnsi"/>
                <w:noProof/>
              </w:rPr>
              <w:t>Questions</w:t>
            </w:r>
            <w:r w:rsidR="008708F5">
              <w:rPr>
                <w:noProof/>
                <w:webHidden/>
              </w:rPr>
              <w:tab/>
            </w:r>
            <w:r w:rsidR="008708F5">
              <w:rPr>
                <w:noProof/>
                <w:webHidden/>
              </w:rPr>
              <w:fldChar w:fldCharType="begin"/>
            </w:r>
            <w:r w:rsidR="008708F5">
              <w:rPr>
                <w:noProof/>
                <w:webHidden/>
              </w:rPr>
              <w:instrText xml:space="preserve"> PAGEREF _Toc56608979 \h </w:instrText>
            </w:r>
            <w:r w:rsidR="008708F5">
              <w:rPr>
                <w:noProof/>
                <w:webHidden/>
              </w:rPr>
            </w:r>
            <w:r w:rsidR="008708F5">
              <w:rPr>
                <w:noProof/>
                <w:webHidden/>
              </w:rPr>
              <w:fldChar w:fldCharType="separate"/>
            </w:r>
            <w:r w:rsidR="008708F5">
              <w:rPr>
                <w:noProof/>
                <w:webHidden/>
              </w:rPr>
              <w:t>9</w:t>
            </w:r>
            <w:r w:rsidR="008708F5">
              <w:rPr>
                <w:noProof/>
                <w:webHidden/>
              </w:rPr>
              <w:fldChar w:fldCharType="end"/>
            </w:r>
          </w:hyperlink>
        </w:p>
        <w:p w14:paraId="05C5365D" w14:textId="47E46ED9" w:rsidR="008708F5" w:rsidRDefault="00175C73" w:rsidP="00484BC9">
          <w:pPr>
            <w:pStyle w:val="TM3"/>
            <w:tabs>
              <w:tab w:val="right" w:leader="dot" w:pos="9736"/>
            </w:tabs>
            <w:ind w:left="0"/>
            <w:rPr>
              <w:rFonts w:eastAsiaTheme="minorEastAsia"/>
              <w:noProof/>
              <w:sz w:val="24"/>
              <w:szCs w:val="24"/>
              <w:lang w:val="fr-FR" w:eastAsia="fr-FR"/>
            </w:rPr>
          </w:pPr>
          <w:hyperlink w:anchor="_Toc56608980" w:history="1">
            <w:r w:rsidR="008708F5" w:rsidRPr="00E9722F">
              <w:rPr>
                <w:rStyle w:val="Lienhypertexte"/>
                <w:rFonts w:cstheme="majorHAnsi"/>
                <w:noProof/>
              </w:rPr>
              <w:t>Summary</w:t>
            </w:r>
            <w:r w:rsidR="008708F5">
              <w:rPr>
                <w:noProof/>
                <w:webHidden/>
              </w:rPr>
              <w:tab/>
            </w:r>
            <w:r w:rsidR="008708F5">
              <w:rPr>
                <w:noProof/>
                <w:webHidden/>
              </w:rPr>
              <w:fldChar w:fldCharType="begin"/>
            </w:r>
            <w:r w:rsidR="008708F5">
              <w:rPr>
                <w:noProof/>
                <w:webHidden/>
              </w:rPr>
              <w:instrText xml:space="preserve"> PAGEREF _Toc56608980 \h </w:instrText>
            </w:r>
            <w:r w:rsidR="008708F5">
              <w:rPr>
                <w:noProof/>
                <w:webHidden/>
              </w:rPr>
            </w:r>
            <w:r w:rsidR="008708F5">
              <w:rPr>
                <w:noProof/>
                <w:webHidden/>
              </w:rPr>
              <w:fldChar w:fldCharType="separate"/>
            </w:r>
            <w:r w:rsidR="008708F5">
              <w:rPr>
                <w:noProof/>
                <w:webHidden/>
              </w:rPr>
              <w:t>10</w:t>
            </w:r>
            <w:r w:rsidR="008708F5">
              <w:rPr>
                <w:noProof/>
                <w:webHidden/>
              </w:rPr>
              <w:fldChar w:fldCharType="end"/>
            </w:r>
          </w:hyperlink>
        </w:p>
        <w:p w14:paraId="79C33E4C" w14:textId="5881EB6A" w:rsidR="008708F5" w:rsidRDefault="00175C73" w:rsidP="00484BC9">
          <w:pPr>
            <w:pStyle w:val="TM3"/>
            <w:tabs>
              <w:tab w:val="right" w:leader="dot" w:pos="9736"/>
            </w:tabs>
            <w:ind w:left="0"/>
            <w:rPr>
              <w:rFonts w:eastAsiaTheme="minorEastAsia"/>
              <w:noProof/>
              <w:sz w:val="24"/>
              <w:szCs w:val="24"/>
              <w:lang w:val="fr-FR" w:eastAsia="fr-FR"/>
            </w:rPr>
          </w:pPr>
          <w:hyperlink w:anchor="_Toc56608981" w:history="1">
            <w:r w:rsidR="008708F5" w:rsidRPr="00E9722F">
              <w:rPr>
                <w:rStyle w:val="Lienhypertexte"/>
                <w:noProof/>
              </w:rPr>
              <w:t>Key Learning</w:t>
            </w:r>
            <w:r w:rsidR="008708F5">
              <w:rPr>
                <w:noProof/>
                <w:webHidden/>
              </w:rPr>
              <w:tab/>
            </w:r>
            <w:r w:rsidR="008708F5">
              <w:rPr>
                <w:noProof/>
                <w:webHidden/>
              </w:rPr>
              <w:fldChar w:fldCharType="begin"/>
            </w:r>
            <w:r w:rsidR="008708F5">
              <w:rPr>
                <w:noProof/>
                <w:webHidden/>
              </w:rPr>
              <w:instrText xml:space="preserve"> PAGEREF _Toc56608981 \h </w:instrText>
            </w:r>
            <w:r w:rsidR="008708F5">
              <w:rPr>
                <w:noProof/>
                <w:webHidden/>
              </w:rPr>
            </w:r>
            <w:r w:rsidR="008708F5">
              <w:rPr>
                <w:noProof/>
                <w:webHidden/>
              </w:rPr>
              <w:fldChar w:fldCharType="separate"/>
            </w:r>
            <w:r w:rsidR="008708F5">
              <w:rPr>
                <w:noProof/>
                <w:webHidden/>
              </w:rPr>
              <w:t>11</w:t>
            </w:r>
            <w:r w:rsidR="008708F5">
              <w:rPr>
                <w:noProof/>
                <w:webHidden/>
              </w:rPr>
              <w:fldChar w:fldCharType="end"/>
            </w:r>
          </w:hyperlink>
        </w:p>
        <w:p w14:paraId="5239EE1F" w14:textId="2829FD37" w:rsidR="008708F5" w:rsidRDefault="00175C73" w:rsidP="00484BC9">
          <w:pPr>
            <w:pStyle w:val="TM2"/>
            <w:tabs>
              <w:tab w:val="right" w:leader="dot" w:pos="9736"/>
            </w:tabs>
            <w:ind w:left="0"/>
            <w:rPr>
              <w:rFonts w:eastAsiaTheme="minorEastAsia"/>
              <w:noProof/>
              <w:sz w:val="24"/>
              <w:szCs w:val="24"/>
              <w:lang w:val="fr-FR" w:eastAsia="fr-FR"/>
            </w:rPr>
          </w:pPr>
          <w:hyperlink w:anchor="_Toc56608982" w:history="1">
            <w:r w:rsidR="008708F5" w:rsidRPr="00E9722F">
              <w:rPr>
                <w:rStyle w:val="Lienhypertexte"/>
                <w:rFonts w:ascii="Calibri" w:hAnsi="Calibri" w:cs="Calibri"/>
                <w:noProof/>
              </w:rPr>
              <w:t>References</w:t>
            </w:r>
            <w:r w:rsidR="008708F5">
              <w:rPr>
                <w:noProof/>
                <w:webHidden/>
              </w:rPr>
              <w:tab/>
            </w:r>
            <w:r w:rsidR="008708F5">
              <w:rPr>
                <w:noProof/>
                <w:webHidden/>
              </w:rPr>
              <w:fldChar w:fldCharType="begin"/>
            </w:r>
            <w:r w:rsidR="008708F5">
              <w:rPr>
                <w:noProof/>
                <w:webHidden/>
              </w:rPr>
              <w:instrText xml:space="preserve"> PAGEREF _Toc56608982 \h </w:instrText>
            </w:r>
            <w:r w:rsidR="008708F5">
              <w:rPr>
                <w:noProof/>
                <w:webHidden/>
              </w:rPr>
            </w:r>
            <w:r w:rsidR="008708F5">
              <w:rPr>
                <w:noProof/>
                <w:webHidden/>
              </w:rPr>
              <w:fldChar w:fldCharType="separate"/>
            </w:r>
            <w:r w:rsidR="008708F5">
              <w:rPr>
                <w:noProof/>
                <w:webHidden/>
              </w:rPr>
              <w:t>12</w:t>
            </w:r>
            <w:r w:rsidR="008708F5">
              <w:rPr>
                <w:noProof/>
                <w:webHidden/>
              </w:rPr>
              <w:fldChar w:fldCharType="end"/>
            </w:r>
          </w:hyperlink>
        </w:p>
        <w:p w14:paraId="3B3BEC5D" w14:textId="1370EAEA"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53C7FDA6" w14:textId="77777777" w:rsidR="00055336" w:rsidRPr="004535A6" w:rsidRDefault="00055336" w:rsidP="00055336">
      <w:pPr>
        <w:pStyle w:val="Titre2"/>
        <w:spacing w:before="120" w:line="240" w:lineRule="auto"/>
        <w:rPr>
          <w:rFonts w:ascii="Calibri" w:hAnsi="Calibri" w:cs="Calibri"/>
        </w:rPr>
      </w:pPr>
      <w:bookmarkStart w:id="14" w:name="_Toc54772940"/>
      <w:bookmarkStart w:id="15" w:name="_Toc56608965"/>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3A5ABDF8" w14:textId="77777777" w:rsidR="00055336" w:rsidRPr="005708A8" w:rsidRDefault="00055336" w:rsidP="00055336">
      <w:pPr>
        <w:pStyle w:val="Titre2"/>
        <w:spacing w:before="120" w:line="240" w:lineRule="auto"/>
        <w:rPr>
          <w:rFonts w:cstheme="majorHAnsi"/>
          <w:sz w:val="24"/>
          <w:szCs w:val="24"/>
        </w:rPr>
      </w:pPr>
      <w:bookmarkStart w:id="16" w:name="_Toc33018562"/>
      <w:bookmarkStart w:id="17" w:name="_Toc54772941"/>
      <w:bookmarkStart w:id="18" w:name="_Toc56608966"/>
      <w:r w:rsidRPr="005708A8">
        <w:rPr>
          <w:rFonts w:cstheme="majorHAnsi"/>
          <w:sz w:val="24"/>
          <w:szCs w:val="24"/>
        </w:rPr>
        <w:t>Context</w:t>
      </w:r>
      <w:bookmarkEnd w:id="16"/>
      <w:bookmarkEnd w:id="17"/>
      <w:bookmarkEnd w:id="18"/>
    </w:p>
    <w:p w14:paraId="4636A5D1" w14:textId="77777777" w:rsidR="00055336" w:rsidRPr="004535A6" w:rsidRDefault="00055336" w:rsidP="00055336">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w:t>
      </w:r>
      <w:proofErr w:type="gramStart"/>
      <w:r w:rsidRPr="004535A6">
        <w:rPr>
          <w:rFonts w:ascii="Calibri" w:hAnsi="Calibri" w:cs="Calibri"/>
        </w:rPr>
        <w:t>state wide</w:t>
      </w:r>
      <w:proofErr w:type="gramEnd"/>
      <w:r w:rsidRPr="004535A6">
        <w:rPr>
          <w:rFonts w:ascii="Calibri" w:hAnsi="Calibri" w:cs="Calibri"/>
        </w:rPr>
        <w:t xml:space="preserve"> and other relevant sector partners (for state wide WHS), to further strengthen their current work in preventing family violence and all forms of violence against women. </w:t>
      </w:r>
    </w:p>
    <w:p w14:paraId="39840AC8" w14:textId="77777777" w:rsidR="00055336" w:rsidRPr="004535A6" w:rsidRDefault="00055336" w:rsidP="00055336">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199E7BEA" w14:textId="77777777" w:rsidR="00055336" w:rsidRPr="004535A6" w:rsidRDefault="00055336" w:rsidP="00055336">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70049101" w14:textId="77777777" w:rsidR="00055336" w:rsidRPr="004535A6" w:rsidRDefault="00055336" w:rsidP="00055336">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7A3BBAC3" w14:textId="77777777" w:rsidR="00055336" w:rsidRPr="004535A6" w:rsidRDefault="00055336" w:rsidP="00055336">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6078BE27" w14:textId="77777777" w:rsidR="00055336" w:rsidRPr="004535A6" w:rsidRDefault="00055336" w:rsidP="00055336">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1323CCFD" w14:textId="77777777" w:rsidR="00055336" w:rsidRPr="004535A6" w:rsidRDefault="00055336" w:rsidP="00055336">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3696BCCD" w14:textId="77777777" w:rsidR="00A6424F" w:rsidRPr="004535A6" w:rsidRDefault="00A6424F" w:rsidP="00A6424F">
      <w:pPr>
        <w:pStyle w:val="Titre2"/>
        <w:spacing w:before="120" w:line="240" w:lineRule="auto"/>
        <w:rPr>
          <w:rFonts w:ascii="Calibri" w:hAnsi="Calibri" w:cs="Calibri"/>
        </w:rPr>
      </w:pPr>
      <w:bookmarkStart w:id="19" w:name="_Toc54772942"/>
      <w:bookmarkStart w:id="20" w:name="_Toc56608967"/>
      <w:r w:rsidRPr="004535A6">
        <w:rPr>
          <w:rFonts w:ascii="Calibri" w:hAnsi="Calibri" w:cs="Calibri"/>
        </w:rPr>
        <w:lastRenderedPageBreak/>
        <w:t>Key Facts About Disability and Gender</w:t>
      </w:r>
      <w:bookmarkEnd w:id="19"/>
      <w:bookmarkEnd w:id="20"/>
    </w:p>
    <w:p w14:paraId="4FD5CBCE" w14:textId="77777777" w:rsidR="00A6424F" w:rsidRPr="005708A8" w:rsidRDefault="00A6424F" w:rsidP="00A6424F">
      <w:pPr>
        <w:pStyle w:val="Titre2"/>
        <w:spacing w:before="120" w:line="240" w:lineRule="auto"/>
        <w:rPr>
          <w:rFonts w:cstheme="majorHAnsi"/>
          <w:sz w:val="24"/>
          <w:szCs w:val="24"/>
        </w:rPr>
      </w:pPr>
      <w:bookmarkStart w:id="21" w:name="_Toc54772943"/>
      <w:bookmarkStart w:id="22" w:name="_Toc56608968"/>
      <w:r w:rsidRPr="005708A8">
        <w:rPr>
          <w:rFonts w:cstheme="majorHAnsi"/>
          <w:sz w:val="24"/>
          <w:szCs w:val="24"/>
        </w:rPr>
        <w:t>Who Are Women with Disabilities?</w:t>
      </w:r>
      <w:bookmarkEnd w:id="21"/>
      <w:bookmarkEnd w:id="22"/>
    </w:p>
    <w:p w14:paraId="57F874AD"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71A0FEB1"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4857B114"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673131F1" w14:textId="77777777" w:rsidR="00A6424F" w:rsidRPr="005708A8" w:rsidRDefault="00A6424F" w:rsidP="00A6424F">
      <w:pPr>
        <w:pStyle w:val="Titre2"/>
        <w:spacing w:before="120" w:line="240" w:lineRule="auto"/>
        <w:rPr>
          <w:rFonts w:cstheme="majorHAnsi"/>
          <w:sz w:val="24"/>
          <w:szCs w:val="24"/>
        </w:rPr>
      </w:pPr>
      <w:bookmarkStart w:id="23" w:name="_Toc54772944"/>
      <w:bookmarkStart w:id="24" w:name="_Toc56608969"/>
      <w:r w:rsidRPr="005708A8">
        <w:rPr>
          <w:rFonts w:cstheme="majorHAnsi"/>
          <w:sz w:val="24"/>
          <w:szCs w:val="24"/>
        </w:rPr>
        <w:t>What Barriers Do We Face?</w:t>
      </w:r>
      <w:bookmarkEnd w:id="23"/>
      <w:bookmarkEnd w:id="24"/>
    </w:p>
    <w:p w14:paraId="6555D70C"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2927C1CD"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75429229"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15EE340C"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6E4F5B4A" w14:textId="77777777" w:rsidR="00A6424F" w:rsidRPr="004535A6" w:rsidRDefault="00A6424F" w:rsidP="00A6424F">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756E2927" w14:textId="77777777" w:rsidR="00A6424F" w:rsidRPr="004535A6" w:rsidRDefault="00A6424F" w:rsidP="00A6424F">
      <w:pPr>
        <w:spacing w:before="120" w:after="0" w:line="240" w:lineRule="auto"/>
        <w:rPr>
          <w:rFonts w:ascii="Calibri" w:hAnsi="Calibri" w:cs="Calibri"/>
        </w:rPr>
      </w:pPr>
    </w:p>
    <w:p w14:paraId="1E2DC65D" w14:textId="77777777" w:rsidR="00A6424F" w:rsidRPr="004535A6" w:rsidRDefault="00A6424F" w:rsidP="00A6424F">
      <w:pPr>
        <w:pStyle w:val="Titre2"/>
        <w:spacing w:before="120" w:line="240" w:lineRule="auto"/>
        <w:rPr>
          <w:rFonts w:ascii="Calibri" w:hAnsi="Calibri" w:cs="Calibri"/>
        </w:rPr>
      </w:pPr>
      <w:bookmarkStart w:id="25" w:name="_Toc54772945"/>
      <w:bookmarkStart w:id="26" w:name="_Toc56608970"/>
      <w:r w:rsidRPr="004535A6">
        <w:rPr>
          <w:rFonts w:ascii="Calibri" w:hAnsi="Calibri" w:cs="Calibri"/>
        </w:rPr>
        <w:t>Key Facts About Disability and Violence Against Women</w:t>
      </w:r>
      <w:bookmarkEnd w:id="25"/>
      <w:bookmarkEnd w:id="26"/>
    </w:p>
    <w:p w14:paraId="5D1FA7BD" w14:textId="77777777" w:rsidR="00A6424F" w:rsidRPr="00D923DF" w:rsidRDefault="00A6424F" w:rsidP="00A6424F">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2272E237" w14:textId="77777777" w:rsidR="00A6424F" w:rsidRPr="00D923DF" w:rsidRDefault="00A6424F" w:rsidP="00A6424F">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2C5D28AE" w14:textId="77777777" w:rsidR="00A6424F" w:rsidRPr="00D923DF" w:rsidRDefault="00A6424F" w:rsidP="00A6424F">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0CEE66BE" w14:textId="77777777" w:rsidR="00A6424F" w:rsidRPr="00D923DF" w:rsidRDefault="00A6424F" w:rsidP="00A6424F">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30E83E19" w14:textId="77777777" w:rsidR="00A6424F" w:rsidRPr="00D923DF" w:rsidRDefault="00A6424F" w:rsidP="00A6424F">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58A30BF7" w14:textId="77777777" w:rsidR="00A6424F" w:rsidRPr="00D923DF" w:rsidRDefault="00A6424F" w:rsidP="00A6424F">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020ED621" w14:textId="77777777" w:rsidR="00A6424F" w:rsidRPr="00D923DF" w:rsidRDefault="00A6424F" w:rsidP="00A6424F">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391EA590" w14:textId="77777777" w:rsidR="00E74493" w:rsidRPr="004535A6" w:rsidRDefault="00E74493" w:rsidP="00E74493">
      <w:pPr>
        <w:pStyle w:val="Titre2"/>
        <w:spacing w:before="120" w:line="240" w:lineRule="auto"/>
        <w:rPr>
          <w:rFonts w:ascii="Calibri" w:hAnsi="Calibri" w:cs="Calibri"/>
        </w:rPr>
      </w:pPr>
      <w:bookmarkStart w:id="27" w:name="_Toc54772946"/>
      <w:bookmarkStart w:id="28" w:name="_Toc56608971"/>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7"/>
      <w:bookmarkEnd w:id="28"/>
    </w:p>
    <w:p w14:paraId="67C24992"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238D5216" w14:textId="77777777" w:rsidR="00E74493" w:rsidRPr="00A47C8D" w:rsidRDefault="00E74493" w:rsidP="00E74493">
      <w:pPr>
        <w:pStyle w:val="Titre3"/>
        <w:spacing w:before="120" w:line="240" w:lineRule="auto"/>
        <w:rPr>
          <w:rFonts w:cstheme="majorHAnsi"/>
          <w:color w:val="2E74B5" w:themeColor="accent1" w:themeShade="BF"/>
        </w:rPr>
      </w:pPr>
      <w:bookmarkStart w:id="29" w:name="_Toc54772947"/>
      <w:bookmarkStart w:id="30" w:name="_Toc56608972"/>
      <w:r w:rsidRPr="00A47C8D">
        <w:rPr>
          <w:rFonts w:cstheme="majorHAnsi"/>
          <w:color w:val="2E74B5" w:themeColor="accent1" w:themeShade="BF"/>
        </w:rPr>
        <w:t>Guiding Principles</w:t>
      </w:r>
      <w:bookmarkEnd w:id="29"/>
      <w:bookmarkEnd w:id="30"/>
    </w:p>
    <w:p w14:paraId="7F92ECFB" w14:textId="77777777" w:rsidR="00E74493" w:rsidRDefault="00E74493" w:rsidP="00E74493">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29A54F7"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35BA6445"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4AA56B0E"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4708D692"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391C7AC1"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149DFE2E"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0C2CE9CE"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32123511"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7F8A8D9C"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0167A1F8"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7FBD6A27"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209E49D1"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7382884D"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71B3E6B5"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1DA6ADF5"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1E6C61C1"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3EEEE31C"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6D8B7346"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19D236EC"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3091C431"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63205813"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6ADFCDA8" w14:textId="77777777" w:rsidR="00E74493" w:rsidRPr="004535A6" w:rsidRDefault="00E74493" w:rsidP="00E74493">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26E1906E"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366EA31A" w14:textId="77777777" w:rsidR="00E74493" w:rsidRPr="00A47C8D" w:rsidRDefault="00E74493" w:rsidP="00E74493">
      <w:pPr>
        <w:pStyle w:val="Titre3"/>
        <w:spacing w:before="120" w:line="240" w:lineRule="auto"/>
        <w:ind w:left="274" w:hanging="274"/>
        <w:rPr>
          <w:rFonts w:cstheme="majorHAnsi"/>
          <w:color w:val="2E74B5" w:themeColor="accent1" w:themeShade="BF"/>
        </w:rPr>
      </w:pPr>
      <w:bookmarkStart w:id="31" w:name="_Toc54772948"/>
      <w:bookmarkStart w:id="32" w:name="_Toc56608973"/>
      <w:r w:rsidRPr="00A47C8D">
        <w:rPr>
          <w:rFonts w:cstheme="majorHAnsi"/>
          <w:color w:val="2E74B5" w:themeColor="accent1" w:themeShade="BF"/>
        </w:rPr>
        <w:t>Audit Scope</w:t>
      </w:r>
      <w:bookmarkEnd w:id="31"/>
      <w:bookmarkEnd w:id="32"/>
    </w:p>
    <w:p w14:paraId="4D73FFCD"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76292FC4"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251A594E"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w:t>
      </w:r>
      <w:proofErr w:type="gramStart"/>
      <w:r w:rsidRPr="004535A6">
        <w:rPr>
          <w:rFonts w:ascii="Calibri" w:hAnsi="Calibri" w:cs="Calibri"/>
        </w:rPr>
        <w:t>tool, and</w:t>
      </w:r>
      <w:proofErr w:type="gramEnd"/>
      <w:r w:rsidRPr="004535A6">
        <w:rPr>
          <w:rFonts w:ascii="Calibri" w:hAnsi="Calibri" w:cs="Calibri"/>
        </w:rPr>
        <w:t xml:space="preserve">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7EE0DCC6"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13829729"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13EDC3DC" w14:textId="77777777" w:rsidR="00E74493" w:rsidRPr="00A47C8D" w:rsidRDefault="00E74493" w:rsidP="00E74493">
      <w:pPr>
        <w:pStyle w:val="Titre3"/>
        <w:spacing w:before="120" w:line="240" w:lineRule="auto"/>
        <w:ind w:left="274" w:hanging="274"/>
        <w:rPr>
          <w:rFonts w:cstheme="majorHAnsi"/>
          <w:color w:val="2E74B5" w:themeColor="accent1" w:themeShade="BF"/>
        </w:rPr>
      </w:pPr>
      <w:bookmarkStart w:id="33" w:name="_Toc33018566"/>
      <w:bookmarkStart w:id="34" w:name="_Toc54772949"/>
      <w:bookmarkStart w:id="35" w:name="_Toc56608974"/>
      <w:r w:rsidRPr="00A47C8D">
        <w:rPr>
          <w:rFonts w:cstheme="majorHAnsi"/>
          <w:color w:val="2E74B5" w:themeColor="accent1" w:themeShade="BF"/>
        </w:rPr>
        <w:t>Data Collection and Presentation</w:t>
      </w:r>
      <w:bookmarkEnd w:id="33"/>
      <w:bookmarkEnd w:id="34"/>
      <w:bookmarkEnd w:id="35"/>
    </w:p>
    <w:p w14:paraId="237F78BC"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w:t>
      </w:r>
      <w:proofErr w:type="gramStart"/>
      <w:r>
        <w:rPr>
          <w:rFonts w:ascii="Calibri" w:hAnsi="Calibri" w:cs="Calibri"/>
        </w:rPr>
        <w:t xml:space="preserve">toolkit, </w:t>
      </w:r>
      <w:r w:rsidRPr="004535A6">
        <w:rPr>
          <w:rFonts w:ascii="Calibri" w:hAnsi="Calibri" w:cs="Calibri"/>
        </w:rPr>
        <w:t>and</w:t>
      </w:r>
      <w:proofErr w:type="gramEnd"/>
      <w:r w:rsidRPr="004535A6">
        <w:rPr>
          <w:rFonts w:ascii="Calibri" w:hAnsi="Calibri" w:cs="Calibri"/>
        </w:rPr>
        <w:t xml:space="preserve"> determine and plan to fill gaps in current organisational systems, processes and infrastructure according to their organisational and regional strategic priorities and resources.  </w:t>
      </w:r>
    </w:p>
    <w:p w14:paraId="6C478568" w14:textId="77777777" w:rsidR="00E74493" w:rsidRPr="00A47C8D" w:rsidRDefault="00E74493" w:rsidP="00E74493">
      <w:pPr>
        <w:pStyle w:val="Titre3"/>
        <w:spacing w:before="120" w:line="240" w:lineRule="auto"/>
        <w:ind w:left="274" w:hanging="274"/>
        <w:rPr>
          <w:rFonts w:cstheme="majorHAnsi"/>
          <w:color w:val="2E74B5" w:themeColor="accent1" w:themeShade="BF"/>
        </w:rPr>
      </w:pPr>
      <w:bookmarkStart w:id="36" w:name="_Toc54772950"/>
      <w:bookmarkStart w:id="37" w:name="_Toc56608975"/>
      <w:r w:rsidRPr="00A47C8D">
        <w:rPr>
          <w:rFonts w:cstheme="majorHAnsi"/>
          <w:color w:val="2E74B5" w:themeColor="accent1" w:themeShade="BF"/>
        </w:rPr>
        <w:t>Audit Instructions</w:t>
      </w:r>
      <w:bookmarkEnd w:id="36"/>
      <w:bookmarkEnd w:id="37"/>
    </w:p>
    <w:p w14:paraId="0ED5E111"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3E280D70" w14:textId="77777777" w:rsidR="00E74493" w:rsidRPr="004535A6" w:rsidRDefault="00E74493" w:rsidP="00E74493">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2198475F" w14:textId="77777777" w:rsidR="00E74493" w:rsidRDefault="00E74493" w:rsidP="00E74493">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69F6DE80" w14:textId="77777777" w:rsidR="00E74493" w:rsidRPr="00950B5D" w:rsidRDefault="00E74493" w:rsidP="00E74493">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8" w:name="_Toc33527998"/>
      <w:r>
        <w:rPr>
          <w:rFonts w:asciiTheme="minorHAnsi" w:hAnsiTheme="minorHAnsi"/>
        </w:rPr>
        <w:br w:type="page"/>
      </w:r>
    </w:p>
    <w:p w14:paraId="0E99A64A" w14:textId="0DDD96CA" w:rsidR="00CA5345" w:rsidRPr="00A47C8D" w:rsidRDefault="00CA5345" w:rsidP="00A720D2">
      <w:pPr>
        <w:pStyle w:val="Titre2"/>
        <w:spacing w:before="120" w:after="120" w:line="240" w:lineRule="auto"/>
        <w:rPr>
          <w:rFonts w:asciiTheme="minorHAnsi" w:hAnsiTheme="minorHAnsi" w:cstheme="minorHAnsi"/>
        </w:rPr>
      </w:pPr>
      <w:bookmarkStart w:id="39" w:name="_Toc56608976"/>
      <w:r w:rsidRPr="00A47C8D">
        <w:rPr>
          <w:rFonts w:asciiTheme="minorHAnsi" w:hAnsiTheme="minorHAnsi" w:cstheme="minorHAnsi"/>
        </w:rPr>
        <w:lastRenderedPageBreak/>
        <w:t>Prevention of Violence Against Women Disability Audit</w:t>
      </w:r>
      <w:bookmarkEnd w:id="39"/>
    </w:p>
    <w:p w14:paraId="378D13DD" w14:textId="77777777" w:rsidR="00CA5345" w:rsidRPr="00A47C8D" w:rsidRDefault="00CA5345" w:rsidP="00A720D2">
      <w:pPr>
        <w:pStyle w:val="Titre2"/>
        <w:spacing w:before="120" w:after="120" w:line="240" w:lineRule="auto"/>
        <w:rPr>
          <w:rFonts w:asciiTheme="minorHAnsi" w:hAnsiTheme="minorHAnsi" w:cstheme="minorHAnsi"/>
          <w:sz w:val="22"/>
          <w:szCs w:val="22"/>
        </w:rPr>
      </w:pPr>
    </w:p>
    <w:p w14:paraId="76766BAE" w14:textId="77777777" w:rsidR="008708F5" w:rsidRPr="00A47C8D" w:rsidRDefault="008708F5" w:rsidP="008708F5">
      <w:pPr>
        <w:pStyle w:val="Titre3"/>
        <w:rPr>
          <w:rFonts w:asciiTheme="minorHAnsi" w:hAnsiTheme="minorHAnsi" w:cstheme="minorHAnsi"/>
        </w:rPr>
      </w:pPr>
      <w:bookmarkStart w:id="40" w:name="_Toc54772952"/>
      <w:bookmarkStart w:id="41" w:name="_Toc56608977"/>
      <w:bookmarkEnd w:id="38"/>
      <w:r w:rsidRPr="00A47C8D">
        <w:rPr>
          <w:rFonts w:asciiTheme="minorHAnsi" w:hAnsiTheme="minorHAnsi" w:cstheme="minorHAnsi"/>
          <w:color w:val="2E74B5" w:themeColor="accent1" w:themeShade="BF"/>
        </w:rPr>
        <w:t>Premises</w:t>
      </w:r>
      <w:bookmarkEnd w:id="40"/>
      <w:bookmarkEnd w:id="41"/>
    </w:p>
    <w:p w14:paraId="380DF616" w14:textId="77777777" w:rsidR="008708F5" w:rsidRDefault="008708F5" w:rsidP="008708F5">
      <w:pPr>
        <w:spacing w:before="120" w:after="0" w:line="240" w:lineRule="auto"/>
        <w:rPr>
          <w:rFonts w:ascii="Calibri" w:hAnsi="Calibri" w:cs="Calibri"/>
        </w:rPr>
      </w:pPr>
      <w:r w:rsidRPr="004535A6">
        <w:rPr>
          <w:rFonts w:ascii="Calibri" w:hAnsi="Calibri" w:cs="Calibri"/>
        </w:rPr>
        <w:t xml:space="preserve">This </w:t>
      </w:r>
      <w:r>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Pr="004535A6">
          <w:rPr>
            <w:rStyle w:val="Lienhypertexte"/>
            <w:rFonts w:ascii="Calibri" w:hAnsi="Calibri" w:cs="Calibri"/>
          </w:rPr>
          <w:t>https://www.access.asn.au/</w:t>
        </w:r>
      </w:hyperlink>
      <w:r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5A107092" w:rsidR="00A720D2" w:rsidRPr="00A47C8D" w:rsidRDefault="00247877" w:rsidP="00A720D2">
      <w:pPr>
        <w:pStyle w:val="Titre3"/>
        <w:rPr>
          <w:rFonts w:asciiTheme="minorHAnsi" w:hAnsiTheme="minorHAnsi" w:cstheme="minorHAnsi"/>
          <w:color w:val="2E74B5" w:themeColor="accent1" w:themeShade="BF"/>
        </w:rPr>
      </w:pPr>
      <w:bookmarkStart w:id="42" w:name="_Toc56608978"/>
      <w:r w:rsidRPr="00A47C8D">
        <w:rPr>
          <w:rFonts w:asciiTheme="minorHAnsi" w:hAnsiTheme="minorHAnsi" w:cstheme="minorHAnsi"/>
          <w:color w:val="2E74B5" w:themeColor="accent1" w:themeShade="BF"/>
        </w:rPr>
        <w:t>Building Interior</w:t>
      </w:r>
      <w:bookmarkEnd w:id="42"/>
      <w:r w:rsidR="00CA5345" w:rsidRPr="00A47C8D">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3" w:name="_Toc56608979"/>
      <w:r w:rsidRPr="000F3C75">
        <w:rPr>
          <w:rFonts w:cstheme="majorHAnsi"/>
          <w:color w:val="2E74B5" w:themeColor="accent1" w:themeShade="BF"/>
        </w:rPr>
        <w:t>Questions</w:t>
      </w:r>
      <w:bookmarkEnd w:id="43"/>
    </w:p>
    <w:p w14:paraId="352842C5" w14:textId="66311A9F" w:rsidR="00903463" w:rsidRPr="004535A6" w:rsidRDefault="00903463" w:rsidP="00903463">
      <w:pPr>
        <w:spacing w:before="120" w:after="0" w:line="240" w:lineRule="auto"/>
        <w:rPr>
          <w:rFonts w:ascii="Calibri" w:hAnsi="Calibri" w:cs="Calibri"/>
        </w:rPr>
      </w:pPr>
      <w:r w:rsidRPr="004535A6">
        <w:rPr>
          <w:rFonts w:ascii="Calibri" w:hAnsi="Calibri" w:cs="Calibri"/>
        </w:rPr>
        <w:t>The questions</w:t>
      </w:r>
      <w:r w:rsidR="00AC3633">
        <w:rPr>
          <w:rFonts w:ascii="Calibri" w:hAnsi="Calibri" w:cs="Calibri"/>
        </w:rPr>
        <w:t xml:space="preserve"> below</w:t>
      </w:r>
      <w:r w:rsidRPr="004535A6">
        <w:rPr>
          <w:rFonts w:ascii="Calibri" w:hAnsi="Calibri" w:cs="Calibri"/>
        </w:rPr>
        <w:t xml:space="preserve"> relate to the accessibility of the interior of your organisation’s building or event space.</w:t>
      </w:r>
      <w:r w:rsidR="0022591A">
        <w:rPr>
          <w:rFonts w:ascii="Calibri" w:hAnsi="Calibri" w:cs="Calibri"/>
        </w:rPr>
        <w:t xml:space="preserve"> </w:t>
      </w:r>
      <w:r w:rsidRPr="004535A6">
        <w:rPr>
          <w:rFonts w:ascii="Calibri" w:hAnsi="Calibri" w:cs="Calibri"/>
        </w:rPr>
        <w:t xml:space="preserve">Enhancements to the physical accessibility of your organisation’s interior may be limited by resource constraints and leasing contracts in the short term. Access can be immediately improved through removal of unnecessary clutter and the strategic positioning of furniture to ensure clear paths of navigation within the building. Negotiation with landlords for the installation of signage or other accessibility features can be undertaken, and access considerations can be factored </w:t>
      </w:r>
      <w:proofErr w:type="gramStart"/>
      <w:r w:rsidRPr="004535A6">
        <w:rPr>
          <w:rFonts w:ascii="Calibri" w:hAnsi="Calibri" w:cs="Calibri"/>
        </w:rPr>
        <w:t>in to</w:t>
      </w:r>
      <w:proofErr w:type="gramEnd"/>
      <w:r w:rsidRPr="004535A6">
        <w:rPr>
          <w:rFonts w:ascii="Calibri" w:hAnsi="Calibri" w:cs="Calibri"/>
        </w:rPr>
        <w:t xml:space="preserve"> accommodation decisions if your organisation plans to relocate in the longer term. The below questions can assist you to assess the accessibility of spaces used for your organisation’s public events or meetings where external stakeholders are engaged.  </w:t>
      </w:r>
    </w:p>
    <w:p w14:paraId="649660D2" w14:textId="77777777" w:rsidR="00903463" w:rsidRPr="004535A6" w:rsidRDefault="00903463" w:rsidP="00903463">
      <w:pPr>
        <w:spacing w:before="120" w:after="0" w:line="240" w:lineRule="auto"/>
        <w:rPr>
          <w:rFonts w:ascii="Calibri" w:hAnsi="Calibri" w:cs="Calibri"/>
          <w:b/>
        </w:rPr>
      </w:pPr>
      <w:r w:rsidRPr="004535A6">
        <w:rPr>
          <w:rFonts w:ascii="Calibri" w:hAnsi="Calibri" w:cs="Calibri"/>
          <w:b/>
        </w:rPr>
        <w:t>Reflective question:</w:t>
      </w:r>
    </w:p>
    <w:p w14:paraId="780D4FA6" w14:textId="77777777" w:rsidR="00903463" w:rsidRPr="004535A6" w:rsidRDefault="00903463" w:rsidP="00903463">
      <w:pPr>
        <w:spacing w:before="120" w:after="0" w:line="240" w:lineRule="auto"/>
        <w:rPr>
          <w:rFonts w:ascii="Calibri" w:hAnsi="Calibri" w:cs="Calibri"/>
          <w:b/>
        </w:rPr>
      </w:pPr>
      <w:r w:rsidRPr="004535A6">
        <w:rPr>
          <w:rFonts w:ascii="Calibri" w:hAnsi="Calibri" w:cs="Calibri"/>
          <w:b/>
        </w:rPr>
        <w:t>How accessible do you believe your building’s interior to be?</w:t>
      </w:r>
    </w:p>
    <w:tbl>
      <w:tblPr>
        <w:tblStyle w:val="Grilledutableau"/>
        <w:tblW w:w="0" w:type="auto"/>
        <w:tblLook w:val="04A0" w:firstRow="1" w:lastRow="0" w:firstColumn="1" w:lastColumn="0" w:noHBand="0" w:noVBand="1"/>
      </w:tblPr>
      <w:tblGrid>
        <w:gridCol w:w="7225"/>
        <w:gridCol w:w="2511"/>
      </w:tblGrid>
      <w:tr w:rsidR="00903463" w:rsidRPr="004535A6" w14:paraId="6E3F6E22" w14:textId="77777777" w:rsidTr="00F106AE">
        <w:tc>
          <w:tcPr>
            <w:tcW w:w="7225" w:type="dxa"/>
          </w:tcPr>
          <w:p w14:paraId="31B57AB5" w14:textId="77777777" w:rsidR="00903463" w:rsidRPr="004535A6" w:rsidRDefault="00903463" w:rsidP="005D0CCD">
            <w:pPr>
              <w:spacing w:before="120"/>
              <w:rPr>
                <w:rFonts w:ascii="Calibri" w:hAnsi="Calibri" w:cs="Calibri"/>
              </w:rPr>
            </w:pPr>
            <w:r w:rsidRPr="004535A6">
              <w:rPr>
                <w:rFonts w:ascii="Calibri" w:hAnsi="Calibri" w:cs="Calibri"/>
              </w:rPr>
              <w:t>Question</w:t>
            </w:r>
          </w:p>
        </w:tc>
        <w:tc>
          <w:tcPr>
            <w:tcW w:w="2511" w:type="dxa"/>
          </w:tcPr>
          <w:p w14:paraId="1A313EB5" w14:textId="495921E3" w:rsidR="00903463" w:rsidRPr="004535A6" w:rsidRDefault="00903463" w:rsidP="005D0CCD">
            <w:pPr>
              <w:spacing w:before="120"/>
              <w:rPr>
                <w:rFonts w:ascii="Calibri" w:hAnsi="Calibri" w:cs="Calibri"/>
              </w:rPr>
            </w:pPr>
            <w:r w:rsidRPr="004535A6">
              <w:rPr>
                <w:rFonts w:ascii="Calibri" w:hAnsi="Calibri" w:cs="Calibri"/>
              </w:rPr>
              <w:t xml:space="preserve">Timeframe for </w:t>
            </w:r>
            <w:r w:rsidR="00975C38">
              <w:rPr>
                <w:rFonts w:ascii="Calibri" w:hAnsi="Calibri" w:cs="Calibri"/>
              </w:rPr>
              <w:t>R</w:t>
            </w:r>
            <w:r w:rsidRPr="004535A6">
              <w:rPr>
                <w:rFonts w:ascii="Calibri" w:hAnsi="Calibri" w:cs="Calibri"/>
              </w:rPr>
              <w:t>esolution</w:t>
            </w:r>
          </w:p>
        </w:tc>
      </w:tr>
      <w:tr w:rsidR="00903463" w:rsidRPr="004535A6" w14:paraId="62EF5A31" w14:textId="77777777" w:rsidTr="00F106AE">
        <w:tc>
          <w:tcPr>
            <w:tcW w:w="7225" w:type="dxa"/>
          </w:tcPr>
          <w:p w14:paraId="1270FA07" w14:textId="77777777" w:rsidR="00903463" w:rsidRPr="004535A6" w:rsidRDefault="00903463" w:rsidP="005D0CCD">
            <w:pPr>
              <w:spacing w:before="120"/>
              <w:rPr>
                <w:rFonts w:ascii="Calibri" w:hAnsi="Calibri" w:cs="Calibri"/>
              </w:rPr>
            </w:pPr>
            <w:r w:rsidRPr="004535A6">
              <w:rPr>
                <w:rFonts w:ascii="Calibri" w:hAnsi="Calibri" w:cs="Calibri"/>
              </w:rPr>
              <w:t>How wide are corridors and walkways? (in metres)</w:t>
            </w:r>
          </w:p>
        </w:tc>
        <w:tc>
          <w:tcPr>
            <w:tcW w:w="2511" w:type="dxa"/>
          </w:tcPr>
          <w:p w14:paraId="133492C5" w14:textId="77777777" w:rsidR="00903463" w:rsidRPr="004535A6" w:rsidRDefault="00903463" w:rsidP="005D0CCD">
            <w:pPr>
              <w:spacing w:before="120"/>
              <w:rPr>
                <w:rFonts w:ascii="Calibri" w:hAnsi="Calibri" w:cs="Calibri"/>
              </w:rPr>
            </w:pPr>
          </w:p>
        </w:tc>
      </w:tr>
      <w:tr w:rsidR="00903463" w:rsidRPr="004535A6" w14:paraId="7F621FB9" w14:textId="77777777" w:rsidTr="005D0CCD">
        <w:trPr>
          <w:trHeight w:val="683"/>
        </w:trPr>
        <w:tc>
          <w:tcPr>
            <w:tcW w:w="9736" w:type="dxa"/>
            <w:gridSpan w:val="2"/>
            <w:shd w:val="clear" w:color="auto" w:fill="D9D9D9" w:themeFill="background1" w:themeFillShade="D9"/>
          </w:tcPr>
          <w:p w14:paraId="136406B6" w14:textId="77777777" w:rsidR="00903463" w:rsidRPr="004535A6" w:rsidRDefault="00903463" w:rsidP="005D0CCD">
            <w:pPr>
              <w:spacing w:before="120"/>
              <w:rPr>
                <w:rFonts w:ascii="Calibri" w:hAnsi="Calibri" w:cs="Calibri"/>
              </w:rPr>
            </w:pPr>
            <w:r w:rsidRPr="004535A6">
              <w:rPr>
                <w:rFonts w:ascii="Calibri" w:hAnsi="Calibri" w:cs="Calibri"/>
              </w:rPr>
              <w:t xml:space="preserve">Best practice is achieved when corridors and walkways are wide enough to accommodate the passage of a wheelchair and another person walking alongside.  </w:t>
            </w:r>
          </w:p>
        </w:tc>
      </w:tr>
      <w:tr w:rsidR="00903463" w:rsidRPr="004535A6" w14:paraId="6A04BC39" w14:textId="77777777" w:rsidTr="005D0CCD">
        <w:tc>
          <w:tcPr>
            <w:tcW w:w="9736" w:type="dxa"/>
            <w:gridSpan w:val="2"/>
          </w:tcPr>
          <w:p w14:paraId="7267F178" w14:textId="77777777" w:rsidR="00903463" w:rsidRDefault="00903463" w:rsidP="005D0CCD">
            <w:pPr>
              <w:spacing w:before="120"/>
              <w:rPr>
                <w:rFonts w:ascii="Calibri" w:hAnsi="Calibri" w:cs="Calibri"/>
              </w:rPr>
            </w:pPr>
            <w:r w:rsidRPr="004535A6">
              <w:rPr>
                <w:rFonts w:ascii="Calibri" w:hAnsi="Calibri" w:cs="Calibri"/>
              </w:rPr>
              <w:t>Response:</w:t>
            </w:r>
          </w:p>
          <w:p w14:paraId="18A76CC7" w14:textId="77777777" w:rsidR="00903463" w:rsidRPr="004535A6" w:rsidRDefault="00903463" w:rsidP="005D0CCD">
            <w:pPr>
              <w:spacing w:before="120"/>
              <w:rPr>
                <w:rFonts w:ascii="Calibri" w:hAnsi="Calibri" w:cs="Calibri"/>
              </w:rPr>
            </w:pPr>
          </w:p>
        </w:tc>
      </w:tr>
      <w:tr w:rsidR="00903463" w:rsidRPr="004535A6" w14:paraId="1CF6BD72" w14:textId="77777777" w:rsidTr="00F106AE">
        <w:tc>
          <w:tcPr>
            <w:tcW w:w="7225" w:type="dxa"/>
          </w:tcPr>
          <w:p w14:paraId="52B5BDCF" w14:textId="77777777" w:rsidR="00903463" w:rsidRPr="004535A6" w:rsidRDefault="00903463" w:rsidP="005D0CCD">
            <w:pPr>
              <w:spacing w:before="120"/>
              <w:rPr>
                <w:rFonts w:ascii="Calibri" w:hAnsi="Calibri" w:cs="Calibri"/>
              </w:rPr>
            </w:pPr>
            <w:r w:rsidRPr="004535A6">
              <w:rPr>
                <w:rFonts w:ascii="Calibri" w:hAnsi="Calibri" w:cs="Calibri"/>
              </w:rPr>
              <w:t>Are corridors and walkways kept clear of obstacles?</w:t>
            </w:r>
          </w:p>
        </w:tc>
        <w:tc>
          <w:tcPr>
            <w:tcW w:w="2511" w:type="dxa"/>
          </w:tcPr>
          <w:p w14:paraId="213F85A5" w14:textId="77777777" w:rsidR="00903463" w:rsidRPr="004535A6" w:rsidRDefault="00903463" w:rsidP="005D0CCD">
            <w:pPr>
              <w:spacing w:before="120"/>
              <w:rPr>
                <w:rFonts w:ascii="Calibri" w:hAnsi="Calibri" w:cs="Calibri"/>
              </w:rPr>
            </w:pPr>
          </w:p>
        </w:tc>
      </w:tr>
      <w:tr w:rsidR="00903463" w:rsidRPr="004535A6" w14:paraId="4D66AD4E" w14:textId="77777777" w:rsidTr="005D0CCD">
        <w:tc>
          <w:tcPr>
            <w:tcW w:w="9736" w:type="dxa"/>
            <w:gridSpan w:val="2"/>
            <w:shd w:val="clear" w:color="auto" w:fill="D9D9D9" w:themeFill="background1" w:themeFillShade="D9"/>
          </w:tcPr>
          <w:p w14:paraId="40CE8239" w14:textId="77777777" w:rsidR="00903463" w:rsidRPr="004535A6" w:rsidRDefault="00903463" w:rsidP="005D0CCD">
            <w:pPr>
              <w:spacing w:before="120"/>
              <w:rPr>
                <w:rFonts w:ascii="Calibri" w:hAnsi="Calibri" w:cs="Calibri"/>
              </w:rPr>
            </w:pPr>
            <w:r w:rsidRPr="004535A6">
              <w:rPr>
                <w:rFonts w:ascii="Calibri" w:hAnsi="Calibri" w:cs="Calibri"/>
              </w:rPr>
              <w:t>Clearing unnecessary items from corridors and walkways can immediately improve accessibility for all users of your building.</w:t>
            </w:r>
          </w:p>
        </w:tc>
      </w:tr>
      <w:tr w:rsidR="00903463" w:rsidRPr="004535A6" w14:paraId="4C296C6E" w14:textId="77777777" w:rsidTr="005D0CCD">
        <w:tc>
          <w:tcPr>
            <w:tcW w:w="9736" w:type="dxa"/>
            <w:gridSpan w:val="2"/>
          </w:tcPr>
          <w:p w14:paraId="7713790D" w14:textId="77777777" w:rsidR="00903463" w:rsidRDefault="00903463" w:rsidP="005D0CCD">
            <w:pPr>
              <w:spacing w:before="120"/>
              <w:rPr>
                <w:rFonts w:ascii="Calibri" w:hAnsi="Calibri" w:cs="Calibri"/>
              </w:rPr>
            </w:pPr>
            <w:r w:rsidRPr="004535A6">
              <w:rPr>
                <w:rFonts w:ascii="Calibri" w:hAnsi="Calibri" w:cs="Calibri"/>
              </w:rPr>
              <w:t>Response:</w:t>
            </w:r>
          </w:p>
          <w:p w14:paraId="4117E142" w14:textId="77777777" w:rsidR="00903463" w:rsidRPr="004535A6" w:rsidRDefault="00903463" w:rsidP="005D0CCD">
            <w:pPr>
              <w:spacing w:before="120"/>
              <w:rPr>
                <w:rFonts w:ascii="Calibri" w:hAnsi="Calibri" w:cs="Calibri"/>
              </w:rPr>
            </w:pPr>
          </w:p>
        </w:tc>
      </w:tr>
      <w:tr w:rsidR="00903463" w:rsidRPr="004535A6" w14:paraId="47F6C2D3" w14:textId="77777777" w:rsidTr="00F106AE">
        <w:tc>
          <w:tcPr>
            <w:tcW w:w="7225" w:type="dxa"/>
          </w:tcPr>
          <w:p w14:paraId="6C318E6D" w14:textId="77777777" w:rsidR="00903463" w:rsidRPr="004535A6" w:rsidRDefault="00903463" w:rsidP="005D0CCD">
            <w:pPr>
              <w:spacing w:before="120"/>
              <w:rPr>
                <w:rFonts w:ascii="Calibri" w:hAnsi="Calibri" w:cs="Calibri"/>
              </w:rPr>
            </w:pPr>
            <w:r w:rsidRPr="004535A6">
              <w:rPr>
                <w:rFonts w:ascii="Calibri" w:hAnsi="Calibri" w:cs="Calibri"/>
              </w:rPr>
              <w:t>Availability of space for wheelchair users to turn corners?</w:t>
            </w:r>
          </w:p>
        </w:tc>
        <w:tc>
          <w:tcPr>
            <w:tcW w:w="2511" w:type="dxa"/>
          </w:tcPr>
          <w:p w14:paraId="4431DCF7" w14:textId="77777777" w:rsidR="00903463" w:rsidRPr="004535A6" w:rsidRDefault="00903463" w:rsidP="005D0CCD">
            <w:pPr>
              <w:spacing w:before="120"/>
              <w:rPr>
                <w:rFonts w:ascii="Calibri" w:hAnsi="Calibri" w:cs="Calibri"/>
              </w:rPr>
            </w:pPr>
          </w:p>
        </w:tc>
      </w:tr>
      <w:tr w:rsidR="00903463" w:rsidRPr="004535A6" w14:paraId="0296605A" w14:textId="77777777" w:rsidTr="005D0CCD">
        <w:tc>
          <w:tcPr>
            <w:tcW w:w="9736" w:type="dxa"/>
            <w:gridSpan w:val="2"/>
            <w:shd w:val="clear" w:color="auto" w:fill="D9D9D9" w:themeFill="background1" w:themeFillShade="D9"/>
          </w:tcPr>
          <w:p w14:paraId="609D0359" w14:textId="77777777" w:rsidR="00903463" w:rsidRPr="004535A6" w:rsidRDefault="00903463" w:rsidP="005D0CCD">
            <w:pPr>
              <w:spacing w:before="120"/>
              <w:rPr>
                <w:rFonts w:ascii="Calibri" w:hAnsi="Calibri" w:cs="Calibri"/>
              </w:rPr>
            </w:pPr>
            <w:r w:rsidRPr="004535A6">
              <w:rPr>
                <w:rFonts w:ascii="Calibri" w:hAnsi="Calibri" w:cs="Calibri"/>
              </w:rPr>
              <w:t>Accessibility is achieved when there is sufficient space for barrier free turning of corners by a person using a wheelchair.</w:t>
            </w:r>
          </w:p>
        </w:tc>
      </w:tr>
      <w:tr w:rsidR="00903463" w:rsidRPr="004535A6" w14:paraId="58245A97" w14:textId="77777777" w:rsidTr="005D0CCD">
        <w:tc>
          <w:tcPr>
            <w:tcW w:w="9736" w:type="dxa"/>
            <w:gridSpan w:val="2"/>
          </w:tcPr>
          <w:p w14:paraId="5DFB0934" w14:textId="77777777" w:rsidR="00903463" w:rsidRDefault="00903463" w:rsidP="005D0CCD">
            <w:pPr>
              <w:spacing w:before="120"/>
              <w:rPr>
                <w:rFonts w:ascii="Calibri" w:hAnsi="Calibri" w:cs="Calibri"/>
              </w:rPr>
            </w:pPr>
            <w:r w:rsidRPr="004535A6">
              <w:rPr>
                <w:rFonts w:ascii="Calibri" w:hAnsi="Calibri" w:cs="Calibri"/>
              </w:rPr>
              <w:t>Response:</w:t>
            </w:r>
          </w:p>
          <w:p w14:paraId="029CE5B1" w14:textId="77777777" w:rsidR="00903463" w:rsidRPr="004535A6" w:rsidRDefault="00903463" w:rsidP="005D0CCD">
            <w:pPr>
              <w:spacing w:before="120"/>
              <w:rPr>
                <w:rFonts w:ascii="Calibri" w:hAnsi="Calibri" w:cs="Calibri"/>
              </w:rPr>
            </w:pPr>
          </w:p>
        </w:tc>
      </w:tr>
      <w:tr w:rsidR="00903463" w:rsidRPr="004535A6" w14:paraId="136295FD" w14:textId="77777777" w:rsidTr="00F106AE">
        <w:tc>
          <w:tcPr>
            <w:tcW w:w="7225" w:type="dxa"/>
          </w:tcPr>
          <w:p w14:paraId="05B441E8" w14:textId="77777777" w:rsidR="00903463" w:rsidRPr="004535A6" w:rsidRDefault="00903463" w:rsidP="005D0CCD">
            <w:pPr>
              <w:spacing w:before="120"/>
              <w:rPr>
                <w:rFonts w:ascii="Calibri" w:hAnsi="Calibri" w:cs="Calibri"/>
              </w:rPr>
            </w:pPr>
            <w:r w:rsidRPr="004535A6">
              <w:rPr>
                <w:rFonts w:ascii="Calibri" w:hAnsi="Calibri" w:cs="Calibri"/>
              </w:rPr>
              <w:lastRenderedPageBreak/>
              <w:t>Presence of glare and silhouetting?</w:t>
            </w:r>
          </w:p>
        </w:tc>
        <w:tc>
          <w:tcPr>
            <w:tcW w:w="2511" w:type="dxa"/>
          </w:tcPr>
          <w:p w14:paraId="6F510CBD" w14:textId="77777777" w:rsidR="00903463" w:rsidRPr="004535A6" w:rsidRDefault="00903463" w:rsidP="005D0CCD">
            <w:pPr>
              <w:spacing w:before="120"/>
              <w:rPr>
                <w:rFonts w:ascii="Calibri" w:hAnsi="Calibri" w:cs="Calibri"/>
              </w:rPr>
            </w:pPr>
          </w:p>
        </w:tc>
      </w:tr>
      <w:tr w:rsidR="00903463" w:rsidRPr="004535A6" w14:paraId="2DFD8D91" w14:textId="77777777" w:rsidTr="005D0CCD">
        <w:tc>
          <w:tcPr>
            <w:tcW w:w="9736" w:type="dxa"/>
            <w:gridSpan w:val="2"/>
            <w:shd w:val="clear" w:color="auto" w:fill="D9D9D9" w:themeFill="background1" w:themeFillShade="D9"/>
          </w:tcPr>
          <w:p w14:paraId="4820D0F8" w14:textId="77777777" w:rsidR="00903463" w:rsidRPr="004535A6" w:rsidRDefault="00903463" w:rsidP="005D0CCD">
            <w:pPr>
              <w:spacing w:before="120"/>
              <w:rPr>
                <w:rFonts w:ascii="Calibri" w:hAnsi="Calibri" w:cs="Calibri"/>
              </w:rPr>
            </w:pPr>
            <w:r w:rsidRPr="004535A6">
              <w:rPr>
                <w:rFonts w:ascii="Calibri" w:hAnsi="Calibri" w:cs="Calibri"/>
              </w:rPr>
              <w:t>Glare and silhouetting obscure visibility and pose particular barriers for some people with vision impairments.</w:t>
            </w:r>
          </w:p>
        </w:tc>
      </w:tr>
      <w:tr w:rsidR="00903463" w:rsidRPr="004535A6" w14:paraId="615A3608" w14:textId="77777777" w:rsidTr="005D0CCD">
        <w:tc>
          <w:tcPr>
            <w:tcW w:w="9736" w:type="dxa"/>
            <w:gridSpan w:val="2"/>
          </w:tcPr>
          <w:p w14:paraId="732CB47C" w14:textId="77777777" w:rsidR="00903463" w:rsidRDefault="00903463" w:rsidP="005D0CCD">
            <w:pPr>
              <w:spacing w:before="120"/>
              <w:rPr>
                <w:rFonts w:ascii="Calibri" w:hAnsi="Calibri" w:cs="Calibri"/>
              </w:rPr>
            </w:pPr>
            <w:r w:rsidRPr="004535A6">
              <w:rPr>
                <w:rFonts w:ascii="Calibri" w:hAnsi="Calibri" w:cs="Calibri"/>
              </w:rPr>
              <w:t>Response:</w:t>
            </w:r>
          </w:p>
          <w:p w14:paraId="1514FDD3" w14:textId="77777777" w:rsidR="00903463" w:rsidRPr="004535A6" w:rsidRDefault="00903463" w:rsidP="005D0CCD">
            <w:pPr>
              <w:spacing w:before="120"/>
              <w:rPr>
                <w:rFonts w:ascii="Calibri" w:hAnsi="Calibri" w:cs="Calibri"/>
              </w:rPr>
            </w:pPr>
          </w:p>
        </w:tc>
      </w:tr>
      <w:tr w:rsidR="00903463" w:rsidRPr="004535A6" w14:paraId="230FDD75" w14:textId="77777777" w:rsidTr="00F106AE">
        <w:tc>
          <w:tcPr>
            <w:tcW w:w="7225" w:type="dxa"/>
          </w:tcPr>
          <w:p w14:paraId="5CD7BB74" w14:textId="77777777" w:rsidR="00903463" w:rsidRPr="004535A6" w:rsidRDefault="00903463" w:rsidP="005D0CCD">
            <w:pPr>
              <w:spacing w:before="120"/>
              <w:rPr>
                <w:rFonts w:ascii="Calibri" w:hAnsi="Calibri" w:cs="Calibri"/>
              </w:rPr>
            </w:pPr>
            <w:r w:rsidRPr="004535A6">
              <w:rPr>
                <w:rFonts w:ascii="Calibri" w:hAnsi="Calibri" w:cs="Calibri"/>
              </w:rPr>
              <w:t>What types of lighting are used?</w:t>
            </w:r>
          </w:p>
        </w:tc>
        <w:tc>
          <w:tcPr>
            <w:tcW w:w="2511" w:type="dxa"/>
          </w:tcPr>
          <w:p w14:paraId="5B3F3638" w14:textId="77777777" w:rsidR="00903463" w:rsidRPr="004535A6" w:rsidRDefault="00903463" w:rsidP="005D0CCD">
            <w:pPr>
              <w:spacing w:before="120"/>
              <w:rPr>
                <w:rFonts w:ascii="Calibri" w:hAnsi="Calibri" w:cs="Calibri"/>
              </w:rPr>
            </w:pPr>
          </w:p>
        </w:tc>
      </w:tr>
      <w:tr w:rsidR="00903463" w:rsidRPr="004535A6" w14:paraId="179528EC" w14:textId="77777777" w:rsidTr="005D0CCD">
        <w:tc>
          <w:tcPr>
            <w:tcW w:w="9736" w:type="dxa"/>
            <w:gridSpan w:val="2"/>
            <w:shd w:val="clear" w:color="auto" w:fill="D9D9D9" w:themeFill="background1" w:themeFillShade="D9"/>
          </w:tcPr>
          <w:p w14:paraId="32AFA68C" w14:textId="77777777" w:rsidR="00903463" w:rsidRPr="004535A6" w:rsidRDefault="00903463" w:rsidP="005D0CCD">
            <w:pPr>
              <w:spacing w:before="120"/>
              <w:rPr>
                <w:rFonts w:ascii="Calibri" w:hAnsi="Calibri" w:cs="Calibri"/>
              </w:rPr>
            </w:pPr>
            <w:r w:rsidRPr="004535A6">
              <w:rPr>
                <w:rFonts w:ascii="Calibri" w:hAnsi="Calibri" w:cs="Calibri"/>
              </w:rPr>
              <w:t>Halogen and fluorescent lighting may induce headaches for anyone who experiences migraines, and fluorescent lighting may also emit a low hum perceivable to people with tinnitus.</w:t>
            </w:r>
          </w:p>
        </w:tc>
      </w:tr>
      <w:tr w:rsidR="00903463" w:rsidRPr="004535A6" w14:paraId="5E79C1ED" w14:textId="77777777" w:rsidTr="005D0CCD">
        <w:tc>
          <w:tcPr>
            <w:tcW w:w="9736" w:type="dxa"/>
            <w:gridSpan w:val="2"/>
          </w:tcPr>
          <w:p w14:paraId="504F93F7" w14:textId="77777777" w:rsidR="00903463" w:rsidRDefault="00903463" w:rsidP="005D0CCD">
            <w:pPr>
              <w:spacing w:before="120"/>
              <w:rPr>
                <w:rFonts w:ascii="Calibri" w:hAnsi="Calibri" w:cs="Calibri"/>
              </w:rPr>
            </w:pPr>
            <w:r w:rsidRPr="004535A6">
              <w:rPr>
                <w:rFonts w:ascii="Calibri" w:hAnsi="Calibri" w:cs="Calibri"/>
              </w:rPr>
              <w:t>Response:</w:t>
            </w:r>
          </w:p>
          <w:p w14:paraId="17EC4758" w14:textId="77777777" w:rsidR="00903463" w:rsidRPr="004535A6" w:rsidRDefault="00903463" w:rsidP="005D0CCD">
            <w:pPr>
              <w:spacing w:before="120"/>
              <w:rPr>
                <w:rFonts w:ascii="Calibri" w:hAnsi="Calibri" w:cs="Calibri"/>
              </w:rPr>
            </w:pPr>
          </w:p>
        </w:tc>
      </w:tr>
      <w:tr w:rsidR="00903463" w:rsidRPr="004535A6" w14:paraId="384E288C" w14:textId="77777777" w:rsidTr="00F106AE">
        <w:tc>
          <w:tcPr>
            <w:tcW w:w="7225" w:type="dxa"/>
          </w:tcPr>
          <w:p w14:paraId="00117B77" w14:textId="77777777" w:rsidR="00903463" w:rsidRPr="004535A6" w:rsidRDefault="00903463" w:rsidP="005D0CCD">
            <w:pPr>
              <w:spacing w:before="120"/>
              <w:rPr>
                <w:rFonts w:ascii="Calibri" w:hAnsi="Calibri" w:cs="Calibri"/>
              </w:rPr>
            </w:pPr>
            <w:r w:rsidRPr="004535A6">
              <w:rPr>
                <w:rFonts w:ascii="Calibri" w:hAnsi="Calibri" w:cs="Calibri"/>
              </w:rPr>
              <w:t>Location of tactile ground surface indicators?</w:t>
            </w:r>
          </w:p>
        </w:tc>
        <w:tc>
          <w:tcPr>
            <w:tcW w:w="2511" w:type="dxa"/>
          </w:tcPr>
          <w:p w14:paraId="39BA39F4" w14:textId="77777777" w:rsidR="00903463" w:rsidRPr="004535A6" w:rsidRDefault="00903463" w:rsidP="005D0CCD">
            <w:pPr>
              <w:spacing w:before="120"/>
              <w:rPr>
                <w:rFonts w:ascii="Calibri" w:hAnsi="Calibri" w:cs="Calibri"/>
              </w:rPr>
            </w:pPr>
          </w:p>
        </w:tc>
      </w:tr>
      <w:tr w:rsidR="00903463" w:rsidRPr="004535A6" w14:paraId="3D8148AE" w14:textId="77777777" w:rsidTr="005D0CCD">
        <w:trPr>
          <w:trHeight w:val="962"/>
        </w:trPr>
        <w:tc>
          <w:tcPr>
            <w:tcW w:w="9736" w:type="dxa"/>
            <w:gridSpan w:val="2"/>
            <w:shd w:val="clear" w:color="auto" w:fill="D9D9D9" w:themeFill="background1" w:themeFillShade="D9"/>
          </w:tcPr>
          <w:p w14:paraId="29766158" w14:textId="7B75E7AB" w:rsidR="00903463" w:rsidRPr="004535A6" w:rsidRDefault="00903463" w:rsidP="005D0CCD">
            <w:pPr>
              <w:spacing w:before="120"/>
              <w:rPr>
                <w:rFonts w:ascii="Calibri" w:hAnsi="Calibri" w:cs="Calibri"/>
              </w:rPr>
            </w:pPr>
            <w:r w:rsidRPr="004535A6">
              <w:rPr>
                <w:rFonts w:ascii="Calibri" w:hAnsi="Calibri" w:cs="Calibri"/>
              </w:rPr>
              <w:t>These provide tactile and visual orientation for people who are blind and vision impaired, warning of hazards and indicating paths of travel</w:t>
            </w:r>
            <w:r w:rsidR="00975C38">
              <w:rPr>
                <w:rFonts w:ascii="Calibri" w:hAnsi="Calibri" w:cs="Calibri"/>
              </w:rPr>
              <w:t>:</w:t>
            </w:r>
            <w:r w:rsidRPr="004535A6">
              <w:rPr>
                <w:rFonts w:ascii="Calibri" w:hAnsi="Calibri" w:cs="Calibri"/>
              </w:rPr>
              <w:t xml:space="preserve"> </w:t>
            </w:r>
            <w:hyperlink r:id="rId20" w:history="1">
              <w:r w:rsidR="00975C38" w:rsidRPr="00975C38">
                <w:rPr>
                  <w:rStyle w:val="Lienhypertexte"/>
                  <w:rFonts w:ascii="Calibri" w:hAnsi="Calibri" w:cs="Calibri"/>
                </w:rPr>
                <w:t>https://designfordignity.com.au/retail-guidelines/dfd-06-11-tactile-ground-surface-indicators.html</w:t>
              </w:r>
            </w:hyperlink>
            <w:r w:rsidR="00975C38" w:rsidRPr="00C702A3">
              <w:rPr>
                <w:rStyle w:val="Lienhypertexte"/>
                <w:color w:val="000000" w:themeColor="text1"/>
                <w:u w:val="none"/>
              </w:rPr>
              <w:t>.</w:t>
            </w:r>
          </w:p>
        </w:tc>
      </w:tr>
      <w:tr w:rsidR="00903463" w:rsidRPr="004535A6" w14:paraId="6C162AB6" w14:textId="77777777" w:rsidTr="005D0CCD">
        <w:tc>
          <w:tcPr>
            <w:tcW w:w="9736" w:type="dxa"/>
            <w:gridSpan w:val="2"/>
          </w:tcPr>
          <w:p w14:paraId="23CE21A4" w14:textId="77777777" w:rsidR="00903463" w:rsidRDefault="00903463" w:rsidP="005D0CCD">
            <w:pPr>
              <w:spacing w:before="120"/>
              <w:rPr>
                <w:rFonts w:ascii="Calibri" w:hAnsi="Calibri" w:cs="Calibri"/>
              </w:rPr>
            </w:pPr>
            <w:r w:rsidRPr="004535A6">
              <w:rPr>
                <w:rFonts w:ascii="Calibri" w:hAnsi="Calibri" w:cs="Calibri"/>
              </w:rPr>
              <w:t>Response:</w:t>
            </w:r>
          </w:p>
          <w:p w14:paraId="35ED4FAB" w14:textId="77777777" w:rsidR="00903463" w:rsidRPr="004535A6" w:rsidRDefault="00903463" w:rsidP="005D0CCD">
            <w:pPr>
              <w:spacing w:before="120"/>
              <w:rPr>
                <w:rFonts w:ascii="Calibri" w:hAnsi="Calibri" w:cs="Calibri"/>
              </w:rPr>
            </w:pPr>
          </w:p>
        </w:tc>
      </w:tr>
      <w:tr w:rsidR="00903463" w:rsidRPr="004535A6" w14:paraId="798CE652" w14:textId="77777777" w:rsidTr="00F106AE">
        <w:tc>
          <w:tcPr>
            <w:tcW w:w="7225" w:type="dxa"/>
          </w:tcPr>
          <w:p w14:paraId="29716EEC" w14:textId="77777777" w:rsidR="00903463" w:rsidRPr="004535A6" w:rsidRDefault="00903463" w:rsidP="005D0CCD">
            <w:pPr>
              <w:spacing w:before="120"/>
              <w:rPr>
                <w:rFonts w:ascii="Calibri" w:hAnsi="Calibri" w:cs="Calibri"/>
              </w:rPr>
            </w:pPr>
            <w:r w:rsidRPr="004535A6">
              <w:rPr>
                <w:rFonts w:ascii="Calibri" w:hAnsi="Calibri" w:cs="Calibri"/>
              </w:rPr>
              <w:t xml:space="preserve">Describe the font, location and visibility of signage? </w:t>
            </w:r>
          </w:p>
        </w:tc>
        <w:tc>
          <w:tcPr>
            <w:tcW w:w="2511" w:type="dxa"/>
          </w:tcPr>
          <w:p w14:paraId="7FB90F4C" w14:textId="77777777" w:rsidR="00903463" w:rsidRPr="004535A6" w:rsidRDefault="00903463" w:rsidP="005D0CCD">
            <w:pPr>
              <w:spacing w:before="120"/>
              <w:rPr>
                <w:rFonts w:ascii="Calibri" w:hAnsi="Calibri" w:cs="Calibri"/>
              </w:rPr>
            </w:pPr>
          </w:p>
        </w:tc>
      </w:tr>
      <w:tr w:rsidR="00903463" w:rsidRPr="004535A6" w14:paraId="4026255F" w14:textId="77777777" w:rsidTr="005D0CCD">
        <w:trPr>
          <w:trHeight w:val="1232"/>
        </w:trPr>
        <w:tc>
          <w:tcPr>
            <w:tcW w:w="9736" w:type="dxa"/>
            <w:gridSpan w:val="2"/>
            <w:shd w:val="clear" w:color="auto" w:fill="D9D9D9" w:themeFill="background1" w:themeFillShade="D9"/>
          </w:tcPr>
          <w:p w14:paraId="2D6CC09D" w14:textId="0A738BD5" w:rsidR="00903463" w:rsidRPr="004535A6" w:rsidRDefault="00903463" w:rsidP="005D0CCD">
            <w:pPr>
              <w:spacing w:before="120"/>
              <w:rPr>
                <w:rFonts w:ascii="Calibri" w:hAnsi="Calibri" w:cs="Calibri"/>
              </w:rPr>
            </w:pPr>
            <w:r w:rsidRPr="004535A6">
              <w:rPr>
                <w:rFonts w:ascii="Calibri" w:hAnsi="Calibri" w:cs="Calibri"/>
              </w:rPr>
              <w:t>The visibility of permanent or temporary signage can be easily improved when attention is paid to contrast between text and background, with dark text on a light background being optimal, use of plain fonts such as Ariel and lettering of a size which can be viewed sitting or standing from a distance</w:t>
            </w:r>
            <w:r w:rsidR="00975C38">
              <w:rPr>
                <w:rFonts w:ascii="Calibri" w:hAnsi="Calibri" w:cs="Calibri"/>
              </w:rPr>
              <w:t xml:space="preserve">: </w:t>
            </w:r>
            <w:hyperlink r:id="rId21" w:history="1">
              <w:r w:rsidRPr="004535A6">
                <w:rPr>
                  <w:rStyle w:val="Lienhypertexte"/>
                  <w:rFonts w:ascii="Calibri" w:hAnsi="Calibri" w:cs="Calibri"/>
                </w:rPr>
                <w:t>https://designfordignity.com.au/retail-guidelines/dfd-06-06-directional-and-category-signage.html</w:t>
              </w:r>
            </w:hyperlink>
            <w:r w:rsidR="00975C38" w:rsidRPr="00F106AE">
              <w:rPr>
                <w:rStyle w:val="Lienhypertexte"/>
                <w:rFonts w:ascii="Calibri" w:hAnsi="Calibri" w:cs="Calibri"/>
                <w:color w:val="000000" w:themeColor="text1"/>
                <w:u w:val="none"/>
              </w:rPr>
              <w:t>.</w:t>
            </w:r>
          </w:p>
        </w:tc>
      </w:tr>
      <w:tr w:rsidR="00903463" w:rsidRPr="004535A6" w14:paraId="3F1DAC24" w14:textId="77777777" w:rsidTr="005D0CCD">
        <w:tc>
          <w:tcPr>
            <w:tcW w:w="9736" w:type="dxa"/>
            <w:gridSpan w:val="2"/>
          </w:tcPr>
          <w:p w14:paraId="12747B4A" w14:textId="77777777" w:rsidR="00903463" w:rsidRDefault="00903463" w:rsidP="005D0CCD">
            <w:pPr>
              <w:spacing w:before="120"/>
              <w:rPr>
                <w:rFonts w:ascii="Calibri" w:hAnsi="Calibri" w:cs="Calibri"/>
              </w:rPr>
            </w:pPr>
            <w:r w:rsidRPr="004535A6">
              <w:rPr>
                <w:rFonts w:ascii="Calibri" w:hAnsi="Calibri" w:cs="Calibri"/>
              </w:rPr>
              <w:t>Response:</w:t>
            </w:r>
          </w:p>
          <w:p w14:paraId="19AA8E31" w14:textId="77777777" w:rsidR="00903463" w:rsidRPr="004535A6" w:rsidRDefault="00903463" w:rsidP="005D0CCD">
            <w:pPr>
              <w:spacing w:before="120"/>
              <w:rPr>
                <w:rFonts w:ascii="Calibri" w:hAnsi="Calibri" w:cs="Calibri"/>
              </w:rPr>
            </w:pPr>
          </w:p>
        </w:tc>
      </w:tr>
      <w:tr w:rsidR="00903463" w:rsidRPr="004535A6" w14:paraId="577F4789" w14:textId="77777777" w:rsidTr="00F106AE">
        <w:tc>
          <w:tcPr>
            <w:tcW w:w="7225" w:type="dxa"/>
          </w:tcPr>
          <w:p w14:paraId="7061BFB6" w14:textId="77777777" w:rsidR="00903463" w:rsidRPr="004535A6" w:rsidRDefault="00903463" w:rsidP="005D0CCD">
            <w:pPr>
              <w:spacing w:before="120"/>
              <w:rPr>
                <w:rFonts w:ascii="Calibri" w:hAnsi="Calibri" w:cs="Calibri"/>
              </w:rPr>
            </w:pPr>
            <w:r w:rsidRPr="004535A6">
              <w:rPr>
                <w:rFonts w:ascii="Calibri" w:hAnsi="Calibri" w:cs="Calibri"/>
              </w:rPr>
              <w:t>Is tactile signage used?</w:t>
            </w:r>
          </w:p>
        </w:tc>
        <w:tc>
          <w:tcPr>
            <w:tcW w:w="2511" w:type="dxa"/>
          </w:tcPr>
          <w:p w14:paraId="710492C3" w14:textId="77777777" w:rsidR="00903463" w:rsidRPr="004535A6" w:rsidRDefault="00903463" w:rsidP="005D0CCD">
            <w:pPr>
              <w:spacing w:before="120"/>
              <w:rPr>
                <w:rFonts w:ascii="Calibri" w:hAnsi="Calibri" w:cs="Calibri"/>
              </w:rPr>
            </w:pPr>
          </w:p>
        </w:tc>
      </w:tr>
      <w:tr w:rsidR="00903463" w:rsidRPr="004535A6" w14:paraId="11F800D3" w14:textId="77777777" w:rsidTr="00F106AE">
        <w:trPr>
          <w:trHeight w:val="958"/>
        </w:trPr>
        <w:tc>
          <w:tcPr>
            <w:tcW w:w="9736" w:type="dxa"/>
            <w:gridSpan w:val="2"/>
            <w:shd w:val="clear" w:color="auto" w:fill="D9D9D9" w:themeFill="background1" w:themeFillShade="D9"/>
          </w:tcPr>
          <w:p w14:paraId="48E846FC" w14:textId="0003FD03" w:rsidR="00903463" w:rsidRPr="004535A6" w:rsidRDefault="00903463" w:rsidP="005D0CCD">
            <w:pPr>
              <w:spacing w:before="120"/>
              <w:rPr>
                <w:rFonts w:ascii="Calibri" w:hAnsi="Calibri" w:cs="Calibri"/>
              </w:rPr>
            </w:pPr>
            <w:r w:rsidRPr="004535A6">
              <w:rPr>
                <w:rFonts w:ascii="Calibri" w:hAnsi="Calibri" w:cs="Calibri"/>
              </w:rPr>
              <w:t xml:space="preserve">This poses </w:t>
            </w:r>
            <w:proofErr w:type="gramStart"/>
            <w:r w:rsidRPr="004535A6">
              <w:rPr>
                <w:rFonts w:ascii="Calibri" w:hAnsi="Calibri" w:cs="Calibri"/>
              </w:rPr>
              <w:t>costs, but</w:t>
            </w:r>
            <w:proofErr w:type="gramEnd"/>
            <w:r w:rsidRPr="004535A6">
              <w:rPr>
                <w:rFonts w:ascii="Calibri" w:hAnsi="Calibri" w:cs="Calibri"/>
              </w:rPr>
              <w:t xml:space="preserve"> may be possible to implement in collaboration with other occupants of your building.    More advice is available from </w:t>
            </w:r>
            <w:hyperlink r:id="rId22" w:history="1">
              <w:r w:rsidRPr="004535A6">
                <w:rPr>
                  <w:rStyle w:val="Lienhypertexte"/>
                  <w:rFonts w:ascii="Calibri" w:hAnsi="Calibri" w:cs="Calibri"/>
                </w:rPr>
                <w:t>https://www.disabilityaccessconsultants.com.au/raised-tactile-and-braille-signage/</w:t>
              </w:r>
            </w:hyperlink>
            <w:r w:rsidR="00975C38" w:rsidRPr="00AB0B53">
              <w:rPr>
                <w:rStyle w:val="Lienhypertexte"/>
                <w:rFonts w:ascii="Calibri" w:hAnsi="Calibri" w:cs="Calibri"/>
                <w:color w:val="000000" w:themeColor="text1"/>
                <w:u w:val="none"/>
              </w:rPr>
              <w:t>.</w:t>
            </w:r>
          </w:p>
        </w:tc>
      </w:tr>
      <w:tr w:rsidR="00903463" w:rsidRPr="004535A6" w14:paraId="57B3D07E" w14:textId="77777777" w:rsidTr="00F106AE">
        <w:tc>
          <w:tcPr>
            <w:tcW w:w="7225" w:type="dxa"/>
          </w:tcPr>
          <w:p w14:paraId="724458DE" w14:textId="77777777" w:rsidR="00903463" w:rsidRDefault="00903463" w:rsidP="005D0CCD">
            <w:pPr>
              <w:spacing w:before="120"/>
              <w:rPr>
                <w:rFonts w:ascii="Calibri" w:hAnsi="Calibri" w:cs="Calibri"/>
              </w:rPr>
            </w:pPr>
            <w:r w:rsidRPr="004535A6">
              <w:rPr>
                <w:rFonts w:ascii="Calibri" w:hAnsi="Calibri" w:cs="Calibri"/>
              </w:rPr>
              <w:t>Response:</w:t>
            </w:r>
          </w:p>
          <w:p w14:paraId="43124205" w14:textId="77777777" w:rsidR="00903463" w:rsidRPr="004535A6" w:rsidRDefault="00903463" w:rsidP="005D0CCD">
            <w:pPr>
              <w:spacing w:before="120"/>
              <w:rPr>
                <w:rFonts w:ascii="Calibri" w:hAnsi="Calibri" w:cs="Calibri"/>
              </w:rPr>
            </w:pPr>
          </w:p>
        </w:tc>
        <w:tc>
          <w:tcPr>
            <w:tcW w:w="2511" w:type="dxa"/>
          </w:tcPr>
          <w:p w14:paraId="2E7B9FF2" w14:textId="77777777" w:rsidR="00903463" w:rsidRPr="004535A6" w:rsidRDefault="00903463" w:rsidP="005D0CCD">
            <w:pPr>
              <w:spacing w:before="120"/>
              <w:rPr>
                <w:rFonts w:ascii="Calibri" w:hAnsi="Calibri" w:cs="Calibri"/>
              </w:rPr>
            </w:pPr>
          </w:p>
        </w:tc>
      </w:tr>
    </w:tbl>
    <w:p w14:paraId="3E9A40AB" w14:textId="40774D9B" w:rsidR="002243A9" w:rsidRDefault="00903463" w:rsidP="002243A9">
      <w:pPr>
        <w:spacing w:before="120" w:after="0" w:line="240" w:lineRule="auto"/>
        <w:rPr>
          <w:rFonts w:ascii="Calibri" w:hAnsi="Calibri" w:cs="Calibri"/>
        </w:rPr>
      </w:pPr>
      <w:r w:rsidRPr="004535A6">
        <w:rPr>
          <w:rFonts w:ascii="Calibri" w:hAnsi="Calibri" w:cs="Calibri"/>
        </w:rPr>
        <w:t xml:space="preserve">Please consult the Disability (Access to Premises - Buildings) Standards 2010 for legislative requirements and technical advice at </w:t>
      </w:r>
      <w:hyperlink r:id="rId23" w:history="1">
        <w:r w:rsidRPr="004535A6">
          <w:rPr>
            <w:rStyle w:val="Lienhypertexte"/>
            <w:rFonts w:ascii="Calibri" w:hAnsi="Calibri" w:cs="Calibri"/>
          </w:rPr>
          <w:t>https://www.legislation.gov.au/Details/F2010L00668</w:t>
        </w:r>
      </w:hyperlink>
      <w:r w:rsidRPr="004535A6">
        <w:rPr>
          <w:rFonts w:ascii="Calibri" w:hAnsi="Calibri" w:cs="Calibri"/>
        </w:rPr>
        <w:t>. Accessibility is achieved when people with disabilities can safely and easily navigate the interior of a building, thereby enhancing their participation in your organisation’s activities and contributing to positive portrayal of women with disabilities and engaged community members and staff.</w:t>
      </w:r>
    </w:p>
    <w:p w14:paraId="3DA3EA6B" w14:textId="77777777" w:rsidR="00F000AF" w:rsidRPr="004535A6" w:rsidRDefault="00F000AF" w:rsidP="002243A9">
      <w:pPr>
        <w:spacing w:before="120" w:after="0" w:line="240" w:lineRule="auto"/>
        <w:rPr>
          <w:rFonts w:ascii="Calibri" w:hAnsi="Calibri" w:cs="Calibri"/>
        </w:rPr>
      </w:pPr>
    </w:p>
    <w:p w14:paraId="1561A674" w14:textId="77777777" w:rsidR="00CA5345" w:rsidRPr="00A47C8D" w:rsidRDefault="00CA5345" w:rsidP="00A720D2">
      <w:pPr>
        <w:pStyle w:val="Titre3"/>
        <w:spacing w:before="120" w:line="240" w:lineRule="auto"/>
        <w:rPr>
          <w:rFonts w:asciiTheme="minorHAnsi" w:hAnsiTheme="minorHAnsi" w:cstheme="minorHAnsi"/>
          <w:color w:val="2E74B5" w:themeColor="accent1" w:themeShade="BF"/>
        </w:rPr>
      </w:pPr>
      <w:bookmarkStart w:id="44" w:name="_Toc56608980"/>
      <w:r w:rsidRPr="00A47C8D">
        <w:rPr>
          <w:rFonts w:asciiTheme="minorHAnsi" w:hAnsiTheme="minorHAnsi" w:cstheme="minorHAnsi"/>
          <w:color w:val="2E74B5" w:themeColor="accent1" w:themeShade="BF"/>
        </w:rPr>
        <w:t>Summary</w:t>
      </w:r>
      <w:bookmarkEnd w:id="44"/>
    </w:p>
    <w:p w14:paraId="5E3B59FD" w14:textId="3BE90EA6" w:rsidR="00CA5345" w:rsidRPr="004535A6" w:rsidRDefault="00CB0398" w:rsidP="00A720D2">
      <w:pPr>
        <w:spacing w:before="120" w:after="0" w:line="240" w:lineRule="auto"/>
        <w:rPr>
          <w:rFonts w:ascii="Calibri" w:hAnsi="Calibri" w:cs="Calibri"/>
        </w:rPr>
      </w:pPr>
      <w:r>
        <w:rPr>
          <w:rFonts w:ascii="Calibri" w:hAnsi="Calibri" w:cs="Calibri"/>
        </w:rPr>
        <w:t xml:space="preserve">The </w:t>
      </w:r>
      <w:r w:rsidR="0022591A" w:rsidRPr="004535A6">
        <w:rPr>
          <w:rFonts w:ascii="Calibri" w:hAnsi="Calibri" w:cs="Calibri"/>
        </w:rPr>
        <w:t xml:space="preserve">questions </w:t>
      </w:r>
      <w:r>
        <w:rPr>
          <w:rFonts w:ascii="Calibri" w:hAnsi="Calibri" w:cs="Calibri"/>
        </w:rPr>
        <w:t xml:space="preserve">above </w:t>
      </w:r>
      <w:r w:rsidR="0022591A" w:rsidRPr="004535A6">
        <w:rPr>
          <w:rFonts w:ascii="Calibri" w:hAnsi="Calibri" w:cs="Calibri"/>
        </w:rPr>
        <w:t>relate to the accessibility of the interior of your organisation’s building or event space.</w:t>
      </w:r>
    </w:p>
    <w:p w14:paraId="25F82DB2" w14:textId="77777777" w:rsidR="00CA5345" w:rsidRDefault="00CA5345" w:rsidP="00A720D2"/>
    <w:p w14:paraId="3CFDBB50" w14:textId="77777777" w:rsidR="00CA5345" w:rsidRPr="00112C53" w:rsidRDefault="00CA5345" w:rsidP="00A720D2">
      <w:pPr>
        <w:pStyle w:val="Titre4"/>
      </w:pPr>
      <w:r w:rsidRPr="00112C53">
        <w:lastRenderedPageBreak/>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57295632" w:rsidR="00CA5345" w:rsidRDefault="00CA5345" w:rsidP="00A720D2">
      <w:pPr>
        <w:spacing w:after="0"/>
      </w:pPr>
      <w:r>
        <w:t>Short Term</w:t>
      </w:r>
      <w:r w:rsidR="00444F4C">
        <w:t>:</w:t>
      </w:r>
    </w:p>
    <w:p w14:paraId="0AEABEDF" w14:textId="77777777" w:rsidR="00CA5345" w:rsidRDefault="00CA5345" w:rsidP="00A720D2">
      <w:pPr>
        <w:spacing w:after="0"/>
      </w:pPr>
    </w:p>
    <w:p w14:paraId="1C386744" w14:textId="150EAF0E" w:rsidR="00CA5345" w:rsidRDefault="00CA5345" w:rsidP="006B48D2">
      <w:pPr>
        <w:tabs>
          <w:tab w:val="center" w:pos="4873"/>
        </w:tabs>
        <w:rPr>
          <w:rFonts w:ascii="Calibri" w:hAnsi="Calibri" w:cs="Calibri"/>
        </w:rPr>
      </w:pPr>
      <w:r>
        <w:t>Medium Term</w:t>
      </w:r>
      <w:r w:rsidR="00444F4C">
        <w:t>:</w:t>
      </w:r>
      <w:r w:rsidR="006B48D2">
        <w:tab/>
      </w:r>
      <w:r>
        <w:br/>
      </w:r>
      <w:r>
        <w:br/>
        <w:t>Long term</w:t>
      </w:r>
      <w:r w:rsidR="00444F4C">
        <w:t>:</w:t>
      </w:r>
    </w:p>
    <w:p w14:paraId="5464F2A5" w14:textId="77777777" w:rsidR="00F000AF" w:rsidRDefault="00F000AF" w:rsidP="00F000AF">
      <w:pPr>
        <w:spacing w:before="120"/>
      </w:pPr>
    </w:p>
    <w:p w14:paraId="3FBD93BC" w14:textId="77777777" w:rsidR="00F000AF" w:rsidRPr="00A47C8D" w:rsidRDefault="00F000AF" w:rsidP="00F000AF">
      <w:pPr>
        <w:pStyle w:val="Titre3"/>
        <w:rPr>
          <w:rFonts w:asciiTheme="minorHAnsi" w:hAnsiTheme="minorHAnsi" w:cstheme="minorHAnsi"/>
          <w:color w:val="2E74B5" w:themeColor="accent1" w:themeShade="BF"/>
        </w:rPr>
      </w:pPr>
      <w:bookmarkStart w:id="45" w:name="_Toc54709627"/>
      <w:bookmarkStart w:id="46" w:name="_Toc54767852"/>
      <w:bookmarkStart w:id="47" w:name="_Toc56608981"/>
      <w:r w:rsidRPr="00A47C8D">
        <w:rPr>
          <w:rFonts w:asciiTheme="minorHAnsi" w:hAnsiTheme="minorHAnsi" w:cstheme="minorHAnsi"/>
          <w:color w:val="2E74B5" w:themeColor="accent1" w:themeShade="BF"/>
        </w:rPr>
        <w:t>Key Learning</w:t>
      </w:r>
      <w:bookmarkEnd w:id="45"/>
      <w:bookmarkEnd w:id="46"/>
      <w:bookmarkEnd w:id="47"/>
    </w:p>
    <w:p w14:paraId="66D96D6F" w14:textId="77777777" w:rsidR="00F000AF" w:rsidRDefault="00F000AF" w:rsidP="00F000AF">
      <w:pPr>
        <w:spacing w:before="120"/>
      </w:pPr>
    </w:p>
    <w:p w14:paraId="3E4828DF" w14:textId="6F5E66C1" w:rsidR="00F000AF" w:rsidRDefault="00F000AF" w:rsidP="00F000AF">
      <w:r>
        <w:t>For (name of organisation)</w:t>
      </w:r>
      <w:r w:rsidR="00444F4C">
        <w:t>:</w:t>
      </w:r>
    </w:p>
    <w:p w14:paraId="7154BBEA" w14:textId="77777777" w:rsidR="00F000AF" w:rsidRDefault="00F000AF" w:rsidP="00F000AF"/>
    <w:p w14:paraId="61C24A07" w14:textId="77777777" w:rsidR="00664466" w:rsidRPr="008040D2" w:rsidRDefault="00664466" w:rsidP="00664466">
      <w:r>
        <w:t>For other partner organisations (if relevant):</w:t>
      </w: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16EF8D78" w14:textId="0FDDA53E" w:rsidR="00AE6C74" w:rsidRPr="004535A6" w:rsidRDefault="00AE6C74" w:rsidP="00764E56">
      <w:pPr>
        <w:pStyle w:val="Titre2"/>
        <w:spacing w:before="120" w:line="240" w:lineRule="auto"/>
        <w:rPr>
          <w:rFonts w:ascii="Calibri" w:hAnsi="Calibri" w:cs="Calibri"/>
        </w:rPr>
      </w:pPr>
      <w:bookmarkStart w:id="48" w:name="_Toc56608982"/>
      <w:r w:rsidRPr="004535A6">
        <w:rPr>
          <w:rFonts w:ascii="Calibri" w:hAnsi="Calibri" w:cs="Calibri"/>
        </w:rPr>
        <w:lastRenderedPageBreak/>
        <w:t>References</w:t>
      </w:r>
      <w:bookmarkEnd w:id="48"/>
    </w:p>
    <w:p w14:paraId="532C7323"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6B49DFB4"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0C17DC01"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0A5FBD27"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15E829C8"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0697A25F"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023CB948" w14:textId="77777777" w:rsidR="00DA07E5" w:rsidRPr="0072204B" w:rsidRDefault="00DA07E5" w:rsidP="00DA07E5">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6E9CBD6B"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0E1BAFE8" w14:textId="77777777" w:rsidR="00DA07E5" w:rsidRPr="00D718F8" w:rsidRDefault="00DA07E5" w:rsidP="00DA07E5">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57380F67" w14:textId="77777777" w:rsidR="00DA07E5" w:rsidRPr="00D718F8" w:rsidRDefault="00DA07E5" w:rsidP="00DA07E5">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1CB3BE22" w14:textId="77777777" w:rsidR="00DA07E5" w:rsidRPr="0072204B" w:rsidRDefault="00DA07E5" w:rsidP="00DA07E5">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3691DE6B"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150E6DF7"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659D4DF5"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5EC496CE"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36DA3EC5"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6DA6CE8D"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334EDFE6"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73F04AF3"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647848A8"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758842F3"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077D5007"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6D73D7CF"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102B140B"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5FAC9694" w14:textId="77777777" w:rsidR="00DA07E5" w:rsidRPr="0072204B" w:rsidRDefault="00DA07E5" w:rsidP="00DA07E5">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7B198886"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1D9777F0"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56E10462"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11720769"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5E92F885"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4754FB0E"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223021C7"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2B8C9308"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4AF1552D"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275D6CD3" w14:textId="77777777" w:rsidR="00DA07E5" w:rsidRPr="0072204B" w:rsidRDefault="00DA07E5" w:rsidP="00DA07E5">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4624AD73"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081EE39B"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240E6815"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57BBBF00"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589B46E1"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57FB0472"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53E67A08"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4BE45EF8"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131C36AC" w14:textId="77777777" w:rsidR="00DA07E5" w:rsidRPr="0072204B" w:rsidRDefault="00DA07E5" w:rsidP="00DA07E5">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3C6A3183" w14:textId="77777777" w:rsidR="00DA07E5" w:rsidRPr="0072204B" w:rsidRDefault="00DA07E5" w:rsidP="00DA07E5">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50FA3DF0"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2B2707BD"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1360B88D"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0094B95E"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6497EAD7"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331933F1"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68EA70D3"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04F74B69"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1E14BF2F"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1CF71EDB"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4F67748D" w14:textId="77777777" w:rsidR="00DA07E5" w:rsidRPr="0072204B" w:rsidRDefault="00DA07E5" w:rsidP="00DA07E5">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4EEF1984" w14:textId="77777777" w:rsidR="00DA07E5" w:rsidRPr="0072204B" w:rsidRDefault="00DA07E5" w:rsidP="00DA07E5">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45B2C40E"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76182486"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173E27E9" w14:textId="77777777" w:rsidR="00DA07E5" w:rsidRPr="0072204B" w:rsidRDefault="00DA07E5" w:rsidP="00DA07E5">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468DD99B" w14:textId="77777777" w:rsidR="00DA07E5" w:rsidRDefault="00DA07E5" w:rsidP="00DA07E5">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139A0F30" w14:textId="77777777" w:rsidR="00DA07E5" w:rsidRDefault="00DA07E5" w:rsidP="00306353">
      <w:pPr>
        <w:autoSpaceDE w:val="0"/>
        <w:autoSpaceDN w:val="0"/>
        <w:adjustRightInd w:val="0"/>
        <w:spacing w:after="0" w:line="240" w:lineRule="auto"/>
        <w:rPr>
          <w:rFonts w:ascii="Calibri" w:hAnsi="Calibri" w:cs="HelveticaNeue-Bold"/>
          <w:b/>
          <w:bCs/>
        </w:rPr>
      </w:pPr>
    </w:p>
    <w:p w14:paraId="3A04FE41" w14:textId="77777777" w:rsidR="00DA07E5" w:rsidRDefault="00DA07E5" w:rsidP="00306353">
      <w:pPr>
        <w:autoSpaceDE w:val="0"/>
        <w:autoSpaceDN w:val="0"/>
        <w:adjustRightInd w:val="0"/>
        <w:spacing w:after="0" w:line="240" w:lineRule="auto"/>
        <w:rPr>
          <w:rFonts w:ascii="Calibri" w:hAnsi="Calibri" w:cs="HelveticaNeue-Bold"/>
          <w:b/>
          <w:bCs/>
        </w:rPr>
      </w:pPr>
    </w:p>
    <w:p w14:paraId="0B84E472" w14:textId="77777777" w:rsidR="00DA07E5" w:rsidRDefault="00DA07E5" w:rsidP="00306353">
      <w:pPr>
        <w:autoSpaceDE w:val="0"/>
        <w:autoSpaceDN w:val="0"/>
        <w:adjustRightInd w:val="0"/>
        <w:spacing w:after="0" w:line="240" w:lineRule="auto"/>
        <w:rPr>
          <w:rFonts w:ascii="Calibri" w:hAnsi="Calibri" w:cs="HelveticaNeue-Bold"/>
          <w:b/>
          <w:bCs/>
        </w:rPr>
      </w:pPr>
    </w:p>
    <w:p w14:paraId="263E92C6" w14:textId="77777777" w:rsidR="00DA07E5" w:rsidRDefault="00DA07E5" w:rsidP="00306353">
      <w:pPr>
        <w:autoSpaceDE w:val="0"/>
        <w:autoSpaceDN w:val="0"/>
        <w:adjustRightInd w:val="0"/>
        <w:spacing w:after="0" w:line="240" w:lineRule="auto"/>
        <w:rPr>
          <w:rFonts w:ascii="Calibri" w:hAnsi="Calibri" w:cs="HelveticaNeue-Bold"/>
          <w:b/>
          <w:bCs/>
        </w:rPr>
      </w:pPr>
    </w:p>
    <w:p w14:paraId="6FEF0E1E" w14:textId="77777777" w:rsidR="00DA07E5" w:rsidRDefault="00DA07E5" w:rsidP="00306353">
      <w:pPr>
        <w:autoSpaceDE w:val="0"/>
        <w:autoSpaceDN w:val="0"/>
        <w:adjustRightInd w:val="0"/>
        <w:spacing w:after="0" w:line="240" w:lineRule="auto"/>
        <w:rPr>
          <w:rFonts w:ascii="Calibri" w:hAnsi="Calibri" w:cs="HelveticaNeue-Bold"/>
          <w:b/>
          <w:bCs/>
        </w:rPr>
      </w:pPr>
    </w:p>
    <w:p w14:paraId="56C48C70" w14:textId="77777777" w:rsidR="00DA07E5" w:rsidRDefault="00DA07E5" w:rsidP="00306353">
      <w:pPr>
        <w:autoSpaceDE w:val="0"/>
        <w:autoSpaceDN w:val="0"/>
        <w:adjustRightInd w:val="0"/>
        <w:spacing w:after="0" w:line="240" w:lineRule="auto"/>
        <w:rPr>
          <w:rFonts w:ascii="Calibri" w:hAnsi="Calibri" w:cs="HelveticaNeue-Bold"/>
          <w:b/>
          <w:bCs/>
        </w:rPr>
      </w:pPr>
    </w:p>
    <w:p w14:paraId="0DE34D16" w14:textId="77777777" w:rsidR="00DA07E5" w:rsidRDefault="00DA07E5" w:rsidP="00306353">
      <w:pPr>
        <w:autoSpaceDE w:val="0"/>
        <w:autoSpaceDN w:val="0"/>
        <w:adjustRightInd w:val="0"/>
        <w:spacing w:after="0" w:line="240" w:lineRule="auto"/>
        <w:rPr>
          <w:rFonts w:ascii="Calibri" w:hAnsi="Calibri" w:cs="HelveticaNeue-Bold"/>
          <w:b/>
          <w:bCs/>
        </w:rPr>
      </w:pPr>
    </w:p>
    <w:p w14:paraId="7265B08F" w14:textId="6410EE0D"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4"/>
      <w:footerReference w:type="default" r:id="rId25"/>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5670" w14:textId="77777777" w:rsidR="00175C73" w:rsidRDefault="00175C73" w:rsidP="00182D13">
      <w:pPr>
        <w:spacing w:after="0" w:line="240" w:lineRule="auto"/>
      </w:pPr>
      <w:r>
        <w:separator/>
      </w:r>
    </w:p>
  </w:endnote>
  <w:endnote w:type="continuationSeparator" w:id="0">
    <w:p w14:paraId="55D1DAD1" w14:textId="77777777" w:rsidR="00175C73" w:rsidRDefault="00175C73"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FCE1" w14:textId="77777777" w:rsidR="00175C73" w:rsidRDefault="00175C73" w:rsidP="00182D13">
      <w:pPr>
        <w:spacing w:after="0" w:line="240" w:lineRule="auto"/>
      </w:pPr>
      <w:r>
        <w:separator/>
      </w:r>
    </w:p>
  </w:footnote>
  <w:footnote w:type="continuationSeparator" w:id="0">
    <w:p w14:paraId="40FF8564" w14:textId="77777777" w:rsidR="00175C73" w:rsidRDefault="00175C73"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28BB"/>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5336"/>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0309"/>
    <w:rsid w:val="000B465D"/>
    <w:rsid w:val="000B54E9"/>
    <w:rsid w:val="000C11F6"/>
    <w:rsid w:val="000C3FEC"/>
    <w:rsid w:val="000C48DC"/>
    <w:rsid w:val="000C5557"/>
    <w:rsid w:val="000C5713"/>
    <w:rsid w:val="000C6E30"/>
    <w:rsid w:val="000C711D"/>
    <w:rsid w:val="000D0D37"/>
    <w:rsid w:val="000D56CA"/>
    <w:rsid w:val="000E2BA0"/>
    <w:rsid w:val="000E6862"/>
    <w:rsid w:val="000E7C93"/>
    <w:rsid w:val="000F3C75"/>
    <w:rsid w:val="0010368F"/>
    <w:rsid w:val="001045B1"/>
    <w:rsid w:val="00107568"/>
    <w:rsid w:val="0011151D"/>
    <w:rsid w:val="0011536E"/>
    <w:rsid w:val="001161C2"/>
    <w:rsid w:val="001178A2"/>
    <w:rsid w:val="00120CD0"/>
    <w:rsid w:val="001232B2"/>
    <w:rsid w:val="0012760C"/>
    <w:rsid w:val="00127C33"/>
    <w:rsid w:val="001336EC"/>
    <w:rsid w:val="001345DA"/>
    <w:rsid w:val="001346E5"/>
    <w:rsid w:val="00137D1A"/>
    <w:rsid w:val="0014293D"/>
    <w:rsid w:val="00143C33"/>
    <w:rsid w:val="001445B0"/>
    <w:rsid w:val="00147966"/>
    <w:rsid w:val="00150502"/>
    <w:rsid w:val="001535B9"/>
    <w:rsid w:val="00160054"/>
    <w:rsid w:val="0016115F"/>
    <w:rsid w:val="00163C46"/>
    <w:rsid w:val="00167AC9"/>
    <w:rsid w:val="00171C99"/>
    <w:rsid w:val="00174200"/>
    <w:rsid w:val="001758FA"/>
    <w:rsid w:val="00175C73"/>
    <w:rsid w:val="001806BC"/>
    <w:rsid w:val="00182D13"/>
    <w:rsid w:val="00182FF5"/>
    <w:rsid w:val="00184883"/>
    <w:rsid w:val="00185122"/>
    <w:rsid w:val="00185355"/>
    <w:rsid w:val="00185845"/>
    <w:rsid w:val="0019196A"/>
    <w:rsid w:val="0019360E"/>
    <w:rsid w:val="00193AA7"/>
    <w:rsid w:val="00196EBA"/>
    <w:rsid w:val="00197DD6"/>
    <w:rsid w:val="00197F20"/>
    <w:rsid w:val="001A1EBC"/>
    <w:rsid w:val="001A2031"/>
    <w:rsid w:val="001A2B10"/>
    <w:rsid w:val="001A2BB9"/>
    <w:rsid w:val="001A4A6B"/>
    <w:rsid w:val="001B28A5"/>
    <w:rsid w:val="001B3180"/>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734"/>
    <w:rsid w:val="001D7AB3"/>
    <w:rsid w:val="001D7B74"/>
    <w:rsid w:val="001E2A4B"/>
    <w:rsid w:val="001F1B0F"/>
    <w:rsid w:val="001F1DEE"/>
    <w:rsid w:val="002001F6"/>
    <w:rsid w:val="0020169D"/>
    <w:rsid w:val="00201887"/>
    <w:rsid w:val="0020239D"/>
    <w:rsid w:val="00204500"/>
    <w:rsid w:val="0020520B"/>
    <w:rsid w:val="00205C3C"/>
    <w:rsid w:val="0021055E"/>
    <w:rsid w:val="00211664"/>
    <w:rsid w:val="00212CBA"/>
    <w:rsid w:val="00213AAA"/>
    <w:rsid w:val="002153E2"/>
    <w:rsid w:val="0021607F"/>
    <w:rsid w:val="002207DB"/>
    <w:rsid w:val="00220F8F"/>
    <w:rsid w:val="002219E7"/>
    <w:rsid w:val="002243A9"/>
    <w:rsid w:val="0022591A"/>
    <w:rsid w:val="002265DC"/>
    <w:rsid w:val="002308D4"/>
    <w:rsid w:val="002336E0"/>
    <w:rsid w:val="00233F49"/>
    <w:rsid w:val="00236A49"/>
    <w:rsid w:val="002420E0"/>
    <w:rsid w:val="00244361"/>
    <w:rsid w:val="00246187"/>
    <w:rsid w:val="002465D7"/>
    <w:rsid w:val="0024787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54834"/>
    <w:rsid w:val="00355BF8"/>
    <w:rsid w:val="00360EE4"/>
    <w:rsid w:val="003621B2"/>
    <w:rsid w:val="00364F3B"/>
    <w:rsid w:val="00365A21"/>
    <w:rsid w:val="00366E47"/>
    <w:rsid w:val="00371694"/>
    <w:rsid w:val="0037241C"/>
    <w:rsid w:val="00374E21"/>
    <w:rsid w:val="00375AA4"/>
    <w:rsid w:val="00381166"/>
    <w:rsid w:val="00381522"/>
    <w:rsid w:val="00384008"/>
    <w:rsid w:val="00387B42"/>
    <w:rsid w:val="00390E1D"/>
    <w:rsid w:val="0039148F"/>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4F4C"/>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84BC9"/>
    <w:rsid w:val="004909AB"/>
    <w:rsid w:val="00491FC8"/>
    <w:rsid w:val="00492CF5"/>
    <w:rsid w:val="004930EA"/>
    <w:rsid w:val="00494A47"/>
    <w:rsid w:val="004A1CE5"/>
    <w:rsid w:val="004A6E0E"/>
    <w:rsid w:val="004B0F32"/>
    <w:rsid w:val="004B3BEA"/>
    <w:rsid w:val="004B435A"/>
    <w:rsid w:val="004B438F"/>
    <w:rsid w:val="004C02E6"/>
    <w:rsid w:val="004C52EC"/>
    <w:rsid w:val="004C61A6"/>
    <w:rsid w:val="004C7EDF"/>
    <w:rsid w:val="004D181B"/>
    <w:rsid w:val="004D25E8"/>
    <w:rsid w:val="004D5464"/>
    <w:rsid w:val="004D711F"/>
    <w:rsid w:val="004D76EB"/>
    <w:rsid w:val="004E3225"/>
    <w:rsid w:val="004F1AF4"/>
    <w:rsid w:val="004F206A"/>
    <w:rsid w:val="004F593E"/>
    <w:rsid w:val="0050054D"/>
    <w:rsid w:val="005009AA"/>
    <w:rsid w:val="00504423"/>
    <w:rsid w:val="00505D8C"/>
    <w:rsid w:val="005063EB"/>
    <w:rsid w:val="00506874"/>
    <w:rsid w:val="00510BD0"/>
    <w:rsid w:val="00510D45"/>
    <w:rsid w:val="005116B4"/>
    <w:rsid w:val="005144DE"/>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7890"/>
    <w:rsid w:val="005708A8"/>
    <w:rsid w:val="00570A06"/>
    <w:rsid w:val="00570B54"/>
    <w:rsid w:val="005711C4"/>
    <w:rsid w:val="00574108"/>
    <w:rsid w:val="00581519"/>
    <w:rsid w:val="00581D7C"/>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E7AFE"/>
    <w:rsid w:val="005F1345"/>
    <w:rsid w:val="005F13D9"/>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64466"/>
    <w:rsid w:val="00666397"/>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6D5A"/>
    <w:rsid w:val="007E2A14"/>
    <w:rsid w:val="007E3835"/>
    <w:rsid w:val="007E6501"/>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666AA"/>
    <w:rsid w:val="008708F5"/>
    <w:rsid w:val="008711D5"/>
    <w:rsid w:val="00871680"/>
    <w:rsid w:val="00872603"/>
    <w:rsid w:val="008756C3"/>
    <w:rsid w:val="008763B2"/>
    <w:rsid w:val="00880B1E"/>
    <w:rsid w:val="0088302B"/>
    <w:rsid w:val="00884A23"/>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63B7"/>
    <w:rsid w:val="008C7A90"/>
    <w:rsid w:val="008D5BFD"/>
    <w:rsid w:val="008D74A1"/>
    <w:rsid w:val="008D7E0C"/>
    <w:rsid w:val="008E1659"/>
    <w:rsid w:val="008E5659"/>
    <w:rsid w:val="008F1315"/>
    <w:rsid w:val="008F3769"/>
    <w:rsid w:val="008F5409"/>
    <w:rsid w:val="008F7247"/>
    <w:rsid w:val="00900FB7"/>
    <w:rsid w:val="0090108E"/>
    <w:rsid w:val="00903463"/>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507CB"/>
    <w:rsid w:val="00950B5D"/>
    <w:rsid w:val="00950C4B"/>
    <w:rsid w:val="00951A66"/>
    <w:rsid w:val="00957202"/>
    <w:rsid w:val="00957699"/>
    <w:rsid w:val="00963B98"/>
    <w:rsid w:val="0096674E"/>
    <w:rsid w:val="00966DBA"/>
    <w:rsid w:val="0096798C"/>
    <w:rsid w:val="00975C38"/>
    <w:rsid w:val="00976061"/>
    <w:rsid w:val="009770B6"/>
    <w:rsid w:val="00980332"/>
    <w:rsid w:val="009920EC"/>
    <w:rsid w:val="00994450"/>
    <w:rsid w:val="009960FA"/>
    <w:rsid w:val="00997118"/>
    <w:rsid w:val="00997465"/>
    <w:rsid w:val="00997681"/>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2EFF"/>
    <w:rsid w:val="00A05010"/>
    <w:rsid w:val="00A06D80"/>
    <w:rsid w:val="00A107A2"/>
    <w:rsid w:val="00A206C4"/>
    <w:rsid w:val="00A20A55"/>
    <w:rsid w:val="00A20EE7"/>
    <w:rsid w:val="00A2249E"/>
    <w:rsid w:val="00A22A03"/>
    <w:rsid w:val="00A22F31"/>
    <w:rsid w:val="00A23795"/>
    <w:rsid w:val="00A25BE3"/>
    <w:rsid w:val="00A25FB0"/>
    <w:rsid w:val="00A26C0E"/>
    <w:rsid w:val="00A276D4"/>
    <w:rsid w:val="00A3148F"/>
    <w:rsid w:val="00A33225"/>
    <w:rsid w:val="00A34B39"/>
    <w:rsid w:val="00A359AE"/>
    <w:rsid w:val="00A47C8D"/>
    <w:rsid w:val="00A50D3E"/>
    <w:rsid w:val="00A5713D"/>
    <w:rsid w:val="00A6424F"/>
    <w:rsid w:val="00A6450F"/>
    <w:rsid w:val="00A650D2"/>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0B53"/>
    <w:rsid w:val="00AB1204"/>
    <w:rsid w:val="00AB2C0A"/>
    <w:rsid w:val="00AB33C1"/>
    <w:rsid w:val="00AB356F"/>
    <w:rsid w:val="00AB56A8"/>
    <w:rsid w:val="00AB5E45"/>
    <w:rsid w:val="00AB6B08"/>
    <w:rsid w:val="00AB6B3E"/>
    <w:rsid w:val="00AB6B45"/>
    <w:rsid w:val="00AC0537"/>
    <w:rsid w:val="00AC1202"/>
    <w:rsid w:val="00AC3633"/>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02A3"/>
    <w:rsid w:val="00C71952"/>
    <w:rsid w:val="00C77071"/>
    <w:rsid w:val="00C80E44"/>
    <w:rsid w:val="00C8121A"/>
    <w:rsid w:val="00C823C8"/>
    <w:rsid w:val="00C926A5"/>
    <w:rsid w:val="00C94214"/>
    <w:rsid w:val="00C9600B"/>
    <w:rsid w:val="00C9675E"/>
    <w:rsid w:val="00C97FF6"/>
    <w:rsid w:val="00CA3920"/>
    <w:rsid w:val="00CA4162"/>
    <w:rsid w:val="00CA5345"/>
    <w:rsid w:val="00CA5B82"/>
    <w:rsid w:val="00CB0398"/>
    <w:rsid w:val="00CB2D7A"/>
    <w:rsid w:val="00CB4882"/>
    <w:rsid w:val="00CB70DE"/>
    <w:rsid w:val="00CC1E70"/>
    <w:rsid w:val="00CC31A0"/>
    <w:rsid w:val="00CC4BBC"/>
    <w:rsid w:val="00CD017B"/>
    <w:rsid w:val="00CD37B3"/>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64B4"/>
    <w:rsid w:val="00D57F44"/>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07E5"/>
    <w:rsid w:val="00DA339B"/>
    <w:rsid w:val="00DA52F9"/>
    <w:rsid w:val="00DB297A"/>
    <w:rsid w:val="00DB2A79"/>
    <w:rsid w:val="00DB2DA6"/>
    <w:rsid w:val="00DB35F5"/>
    <w:rsid w:val="00DB7999"/>
    <w:rsid w:val="00DC4225"/>
    <w:rsid w:val="00DC4A00"/>
    <w:rsid w:val="00DC57B6"/>
    <w:rsid w:val="00DC5D6A"/>
    <w:rsid w:val="00DD1EB9"/>
    <w:rsid w:val="00DD1FC6"/>
    <w:rsid w:val="00DD3822"/>
    <w:rsid w:val="00DD62B2"/>
    <w:rsid w:val="00DD71E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6BCF"/>
    <w:rsid w:val="00E27291"/>
    <w:rsid w:val="00E334FB"/>
    <w:rsid w:val="00E34081"/>
    <w:rsid w:val="00E3473A"/>
    <w:rsid w:val="00E366E9"/>
    <w:rsid w:val="00E37707"/>
    <w:rsid w:val="00E378F6"/>
    <w:rsid w:val="00E404E4"/>
    <w:rsid w:val="00E456EF"/>
    <w:rsid w:val="00E5701C"/>
    <w:rsid w:val="00E62279"/>
    <w:rsid w:val="00E624CE"/>
    <w:rsid w:val="00E6298C"/>
    <w:rsid w:val="00E6630A"/>
    <w:rsid w:val="00E7057D"/>
    <w:rsid w:val="00E71DAC"/>
    <w:rsid w:val="00E73048"/>
    <w:rsid w:val="00E74493"/>
    <w:rsid w:val="00E744D6"/>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0AF"/>
    <w:rsid w:val="00F0092F"/>
    <w:rsid w:val="00F02236"/>
    <w:rsid w:val="00F024BC"/>
    <w:rsid w:val="00F03264"/>
    <w:rsid w:val="00F045C8"/>
    <w:rsid w:val="00F05E36"/>
    <w:rsid w:val="00F106AE"/>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540EC"/>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A2FBF"/>
    <w:rsid w:val="00FA5426"/>
    <w:rsid w:val="00FC0E73"/>
    <w:rsid w:val="00FC1F4A"/>
    <w:rsid w:val="00FC21B7"/>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esignfordignity.com.au/retail-guidelines/dfd-06-06-directional-and-category-signage.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designfordignity.com.au/retail-guidelines/dfd-06-11-tactile-ground-surface-indicato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au/Details/F2010L00668" TargetMode="External"/><Relationship Id="rId10" Type="http://schemas.openxmlformats.org/officeDocument/2006/relationships/endnotes" Target="endnotes.xml"/><Relationship Id="rId19" Type="http://schemas.openxmlformats.org/officeDocument/2006/relationships/hyperlink" Target="https://www.access.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isabilityaccessconsultants.com.au/raised-tactile-and-braille-signag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D306E-F312-4FDC-B6D1-1B5604913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A3C53-DF67-4A90-919F-596E925FCE82}">
  <ds:schemaRefs>
    <ds:schemaRef ds:uri="http://schemas.microsoft.com/sharepoint/v3/contenttype/forms"/>
  </ds:schemaRefs>
</ds:datastoreItem>
</file>

<file path=customXml/itemProps3.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4.xml><?xml version="1.0" encoding="utf-8"?>
<ds:datastoreItem xmlns:ds="http://schemas.openxmlformats.org/officeDocument/2006/customXml" ds:itemID="{D05F7228-8896-4552-AC64-DB1281087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6337</Words>
  <Characters>34856</Characters>
  <Application>Microsoft Office Word</Application>
  <DocSecurity>0</DocSecurity>
  <Lines>290</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49</cp:revision>
  <dcterms:created xsi:type="dcterms:W3CDTF">2020-10-22T02:54:00Z</dcterms:created>
  <dcterms:modified xsi:type="dcterms:W3CDTF">2020-12-01T05:55:00Z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