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1AD9" w14:textId="77777777" w:rsidR="005437BA" w:rsidRDefault="005437BA" w:rsidP="00A806FE"/>
    <w:p w14:paraId="09A75EFE" w14:textId="77777777" w:rsidR="005437BA" w:rsidRDefault="005437BA" w:rsidP="00A806FE"/>
    <w:p w14:paraId="4F6ED8FC" w14:textId="77777777" w:rsidR="005437BA" w:rsidRDefault="005437BA" w:rsidP="00A806FE"/>
    <w:p w14:paraId="18CEE36F" w14:textId="77777777" w:rsidR="00052397" w:rsidRDefault="005437BA" w:rsidP="00A806FE">
      <w:r>
        <w:rPr>
          <w:noProof/>
          <w:lang w:eastAsia="en-AU"/>
        </w:rPr>
        <w:drawing>
          <wp:inline distT="0" distB="0" distL="0" distR="0" wp14:anchorId="66E543E6" wp14:editId="5D127156">
            <wp:extent cx="3754364" cy="655093"/>
            <wp:effectExtent l="0" t="0" r="0" b="0"/>
            <wp:docPr id="2" name="Picture 2" descr="Women with Disabilitie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omen with Disabilities Victoria logo"/>
                    <pic:cNvPicPr/>
                  </pic:nvPicPr>
                  <pic:blipFill>
                    <a:blip r:embed="rId11">
                      <a:extLst>
                        <a:ext uri="{28A0092B-C50C-407E-A947-70E740481C1C}">
                          <a14:useLocalDpi xmlns:a14="http://schemas.microsoft.com/office/drawing/2010/main" val="0"/>
                        </a:ext>
                      </a:extLst>
                    </a:blip>
                    <a:stretch>
                      <a:fillRect/>
                    </a:stretch>
                  </pic:blipFill>
                  <pic:spPr>
                    <a:xfrm>
                      <a:off x="0" y="0"/>
                      <a:ext cx="3762192" cy="656459"/>
                    </a:xfrm>
                    <a:prstGeom prst="rect">
                      <a:avLst/>
                    </a:prstGeom>
                  </pic:spPr>
                </pic:pic>
              </a:graphicData>
            </a:graphic>
          </wp:inline>
        </w:drawing>
      </w:r>
    </w:p>
    <w:p w14:paraId="6416EA8A" w14:textId="77777777" w:rsidR="00052397" w:rsidRDefault="00052397" w:rsidP="00A806FE"/>
    <w:p w14:paraId="0AD8BCB7" w14:textId="77777777" w:rsidR="00052397" w:rsidRDefault="00052397" w:rsidP="00A806FE"/>
    <w:p w14:paraId="36EC37F9" w14:textId="7793407D" w:rsidR="00052397" w:rsidRDefault="00052397" w:rsidP="00A806FE"/>
    <w:p w14:paraId="78E245D5" w14:textId="1E10FF0F" w:rsidR="00052397" w:rsidRDefault="00BD746D" w:rsidP="00A806FE">
      <w:r>
        <w:rPr>
          <w:noProof/>
          <w:lang w:eastAsia="en-AU"/>
        </w:rPr>
        <w:drawing>
          <wp:anchor distT="0" distB="0" distL="114300" distR="114300" simplePos="0" relativeHeight="251656192" behindDoc="0" locked="0" layoutInCell="1" allowOverlap="1" wp14:anchorId="30CBFA07" wp14:editId="7275A4A6">
            <wp:simplePos x="0" y="0"/>
            <wp:positionH relativeFrom="margin">
              <wp:posOffset>-1639570</wp:posOffset>
            </wp:positionH>
            <wp:positionV relativeFrom="margin">
              <wp:posOffset>2794000</wp:posOffset>
            </wp:positionV>
            <wp:extent cx="9579610" cy="3834765"/>
            <wp:effectExtent l="0" t="0" r="254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79610" cy="3834765"/>
                    </a:xfrm>
                    <a:prstGeom prst="rect">
                      <a:avLst/>
                    </a:prstGeom>
                  </pic:spPr>
                </pic:pic>
              </a:graphicData>
            </a:graphic>
            <wp14:sizeRelH relativeFrom="page">
              <wp14:pctWidth>0</wp14:pctWidth>
            </wp14:sizeRelH>
            <wp14:sizeRelV relativeFrom="page">
              <wp14:pctHeight>0</wp14:pctHeight>
            </wp14:sizeRelV>
          </wp:anchor>
        </w:drawing>
      </w:r>
    </w:p>
    <w:p w14:paraId="12E896F5" w14:textId="77777777" w:rsidR="00BD746D" w:rsidRDefault="00BD746D" w:rsidP="00052397">
      <w:pPr>
        <w:pStyle w:val="Title"/>
      </w:pPr>
    </w:p>
    <w:p w14:paraId="405C30F4" w14:textId="0D15A85C" w:rsidR="0051557B" w:rsidRDefault="00052397" w:rsidP="00052397">
      <w:pPr>
        <w:pStyle w:val="Title"/>
      </w:pPr>
      <w:r>
        <w:t>Annual Report</w:t>
      </w:r>
    </w:p>
    <w:p w14:paraId="7CC1F513" w14:textId="3F273F54" w:rsidR="00052397" w:rsidRDefault="00052397" w:rsidP="00052397">
      <w:pPr>
        <w:pStyle w:val="Subtitle"/>
      </w:pPr>
      <w:r>
        <w:t>2020-2021</w:t>
      </w:r>
    </w:p>
    <w:p w14:paraId="5FB5462A" w14:textId="788784EB" w:rsidR="007F42AF" w:rsidRDefault="007F42AF" w:rsidP="007F42AF">
      <w:pPr>
        <w:rPr>
          <w:lang w:val="en-GB"/>
        </w:rPr>
      </w:pPr>
    </w:p>
    <w:p w14:paraId="06BC6417" w14:textId="77777777" w:rsidR="006325E8" w:rsidRDefault="006325E8">
      <w:pPr>
        <w:rPr>
          <w:lang w:val="en-GB"/>
        </w:rPr>
        <w:sectPr w:rsidR="006325E8" w:rsidSect="00DD2184">
          <w:pgSz w:w="11906" w:h="16838" w:code="9"/>
          <w:pgMar w:top="992" w:right="851" w:bottom="992" w:left="851" w:header="567" w:footer="567" w:gutter="0"/>
          <w:cols w:space="708"/>
          <w:docGrid w:linePitch="360"/>
        </w:sectPr>
      </w:pPr>
    </w:p>
    <w:p w14:paraId="4299403E" w14:textId="7A72C7F1" w:rsidR="003F3476" w:rsidRDefault="00473763" w:rsidP="003F3476">
      <w:pPr>
        <w:pStyle w:val="Heading1"/>
      </w:pPr>
      <w:r>
        <w:rPr>
          <w:noProof/>
          <w:lang w:eastAsia="en-AU"/>
        </w:rPr>
        <w:lastRenderedPageBreak/>
        <w:drawing>
          <wp:anchor distT="0" distB="0" distL="114300" distR="114300" simplePos="0" relativeHeight="251658240" behindDoc="0" locked="1" layoutInCell="1" allowOverlap="1" wp14:anchorId="038E4661" wp14:editId="670C0F6D">
            <wp:simplePos x="0" y="0"/>
            <wp:positionH relativeFrom="margin">
              <wp:posOffset>-2280920</wp:posOffset>
            </wp:positionH>
            <wp:positionV relativeFrom="margin">
              <wp:posOffset>-2239645</wp:posOffset>
            </wp:positionV>
            <wp:extent cx="9578975" cy="3833495"/>
            <wp:effectExtent l="0" t="0" r="3175" b="0"/>
            <wp:wrapTopAndBottom/>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78975" cy="3833495"/>
                    </a:xfrm>
                    <a:prstGeom prst="rect">
                      <a:avLst/>
                    </a:prstGeom>
                  </pic:spPr>
                </pic:pic>
              </a:graphicData>
            </a:graphic>
            <wp14:sizeRelH relativeFrom="page">
              <wp14:pctWidth>0</wp14:pctWidth>
            </wp14:sizeRelH>
            <wp14:sizeRelV relativeFrom="page">
              <wp14:pctHeight>0</wp14:pctHeight>
            </wp14:sizeRelV>
          </wp:anchor>
        </w:drawing>
      </w:r>
      <w:r w:rsidR="003F3476">
        <w:t>Our Vision:</w:t>
      </w:r>
    </w:p>
    <w:p w14:paraId="4739BE7A" w14:textId="47B72979" w:rsidR="003F3476" w:rsidRDefault="003F3476" w:rsidP="003F3476">
      <w:pPr>
        <w:pStyle w:val="Highlight-Pink"/>
      </w:pPr>
      <w:r>
        <w:t>A world where all women are respected and can fully experience life.</w:t>
      </w:r>
    </w:p>
    <w:p w14:paraId="5D68CC95" w14:textId="488CB28A" w:rsidR="003F3476" w:rsidRDefault="003F3476" w:rsidP="003F3476"/>
    <w:p w14:paraId="187D5B94" w14:textId="77777777" w:rsidR="003F3476" w:rsidRDefault="003F3476" w:rsidP="003F3476">
      <w:pPr>
        <w:pStyle w:val="Heading1"/>
      </w:pPr>
      <w:r>
        <w:t xml:space="preserve">Our Mission </w:t>
      </w:r>
    </w:p>
    <w:p w14:paraId="1C2F0260" w14:textId="77777777" w:rsidR="003F3476" w:rsidRDefault="003F3476" w:rsidP="690D41A3">
      <w:pPr>
        <w:rPr>
          <w:sz w:val="24"/>
          <w:szCs w:val="24"/>
        </w:rPr>
      </w:pPr>
      <w:r w:rsidRPr="690D41A3">
        <w:rPr>
          <w:sz w:val="24"/>
          <w:szCs w:val="24"/>
        </w:rPr>
        <w:t xml:space="preserve">To advance </w:t>
      </w:r>
      <w:proofErr w:type="gramStart"/>
      <w:r w:rsidRPr="690D41A3">
        <w:rPr>
          <w:sz w:val="24"/>
          <w:szCs w:val="24"/>
        </w:rPr>
        <w:t>real</w:t>
      </w:r>
      <w:proofErr w:type="gramEnd"/>
      <w:r w:rsidRPr="690D41A3">
        <w:rPr>
          <w:sz w:val="24"/>
          <w:szCs w:val="24"/>
        </w:rPr>
        <w:t xml:space="preserve"> social and economic inclusion for women with disabilities in Victoria, we will:</w:t>
      </w:r>
    </w:p>
    <w:p w14:paraId="527AECE6" w14:textId="77777777" w:rsidR="003F3476" w:rsidRDefault="003F3476" w:rsidP="003F3476">
      <w:pPr>
        <w:pStyle w:val="ListBullet"/>
        <w:rPr>
          <w:sz w:val="24"/>
        </w:rPr>
      </w:pPr>
      <w:r w:rsidRPr="690D41A3">
        <w:rPr>
          <w:sz w:val="24"/>
        </w:rPr>
        <w:t>Be a voice for women with disabilities.</w:t>
      </w:r>
    </w:p>
    <w:p w14:paraId="50DF0D18" w14:textId="77777777" w:rsidR="003F3476" w:rsidRDefault="003F3476" w:rsidP="003F3476">
      <w:pPr>
        <w:pStyle w:val="ListBullet"/>
        <w:rPr>
          <w:sz w:val="24"/>
        </w:rPr>
      </w:pPr>
      <w:r w:rsidRPr="690D41A3">
        <w:rPr>
          <w:sz w:val="24"/>
        </w:rPr>
        <w:t>Create opportunities for women with disabilities to be visible and to be heard in their communities.</w:t>
      </w:r>
    </w:p>
    <w:p w14:paraId="18062DE2" w14:textId="77777777" w:rsidR="003F3476" w:rsidRDefault="003F3476" w:rsidP="003F3476">
      <w:pPr>
        <w:pStyle w:val="ListBullet"/>
        <w:rPr>
          <w:sz w:val="24"/>
        </w:rPr>
      </w:pPr>
      <w:r w:rsidRPr="690D41A3">
        <w:rPr>
          <w:sz w:val="24"/>
        </w:rPr>
        <w:t>Build partnerships to deliver the best results for women with disabilities.</w:t>
      </w:r>
    </w:p>
    <w:p w14:paraId="401AFA9D" w14:textId="6E9BA9C9" w:rsidR="003F3476" w:rsidRDefault="003F3476" w:rsidP="003F3476">
      <w:pPr>
        <w:pStyle w:val="ListBullet"/>
        <w:rPr>
          <w:sz w:val="24"/>
        </w:rPr>
      </w:pPr>
      <w:r w:rsidRPr="690D41A3">
        <w:rPr>
          <w:sz w:val="24"/>
        </w:rPr>
        <w:t>Engage the community to challenge attitudes and myths about women with disabilities.</w:t>
      </w:r>
    </w:p>
    <w:p w14:paraId="64CD67D2" w14:textId="77777777" w:rsidR="00D860EB" w:rsidRDefault="00D860EB" w:rsidP="00D860EB"/>
    <w:p w14:paraId="44DC0D80" w14:textId="77777777" w:rsidR="00D860EB" w:rsidRDefault="00D860EB" w:rsidP="00D860EB">
      <w:pPr>
        <w:pStyle w:val="Heading1"/>
      </w:pPr>
      <w:r>
        <w:t>Our Values</w:t>
      </w:r>
    </w:p>
    <w:p w14:paraId="48FEC5FC" w14:textId="2E0F8352" w:rsidR="00D860EB" w:rsidRDefault="00D860EB" w:rsidP="690D41A3">
      <w:pPr>
        <w:rPr>
          <w:sz w:val="24"/>
          <w:szCs w:val="24"/>
        </w:rPr>
      </w:pPr>
      <w:r w:rsidRPr="690D41A3">
        <w:rPr>
          <w:sz w:val="24"/>
          <w:szCs w:val="24"/>
        </w:rPr>
        <w:t>Our values uphold human rights and social justice.</w:t>
      </w:r>
    </w:p>
    <w:p w14:paraId="70FE3042" w14:textId="77777777" w:rsidR="00D860EB" w:rsidRDefault="00D860EB" w:rsidP="00D860EB">
      <w:pPr>
        <w:pStyle w:val="ListBullet"/>
        <w:rPr>
          <w:sz w:val="24"/>
        </w:rPr>
      </w:pPr>
      <w:r w:rsidRPr="690D41A3">
        <w:rPr>
          <w:sz w:val="24"/>
        </w:rPr>
        <w:t>Equal Opportunity</w:t>
      </w:r>
    </w:p>
    <w:p w14:paraId="628E3A67" w14:textId="77777777" w:rsidR="00D860EB" w:rsidRDefault="00D860EB" w:rsidP="00D860EB">
      <w:pPr>
        <w:pStyle w:val="ListBullet"/>
        <w:rPr>
          <w:sz w:val="24"/>
        </w:rPr>
      </w:pPr>
      <w:r w:rsidRPr="690D41A3">
        <w:rPr>
          <w:sz w:val="24"/>
        </w:rPr>
        <w:t>Accessibility</w:t>
      </w:r>
    </w:p>
    <w:p w14:paraId="056366F3" w14:textId="77777777" w:rsidR="00D860EB" w:rsidRDefault="00D860EB" w:rsidP="00D860EB">
      <w:pPr>
        <w:pStyle w:val="ListBullet"/>
        <w:rPr>
          <w:sz w:val="24"/>
        </w:rPr>
      </w:pPr>
      <w:r w:rsidRPr="690D41A3">
        <w:rPr>
          <w:sz w:val="24"/>
        </w:rPr>
        <w:t>Respect</w:t>
      </w:r>
    </w:p>
    <w:p w14:paraId="51713079" w14:textId="77777777" w:rsidR="00D860EB" w:rsidRDefault="00D860EB" w:rsidP="00D860EB">
      <w:pPr>
        <w:pStyle w:val="ListBullet"/>
        <w:rPr>
          <w:sz w:val="24"/>
        </w:rPr>
      </w:pPr>
      <w:r w:rsidRPr="690D41A3">
        <w:rPr>
          <w:sz w:val="24"/>
        </w:rPr>
        <w:t>Collaboration</w:t>
      </w:r>
    </w:p>
    <w:p w14:paraId="7E5D74A2" w14:textId="77777777" w:rsidR="00D860EB" w:rsidRDefault="00D860EB" w:rsidP="00D860EB">
      <w:pPr>
        <w:pStyle w:val="ListBullet"/>
        <w:rPr>
          <w:sz w:val="24"/>
        </w:rPr>
      </w:pPr>
      <w:r w:rsidRPr="690D41A3">
        <w:rPr>
          <w:sz w:val="24"/>
        </w:rPr>
        <w:t>Effectiveness</w:t>
      </w:r>
    </w:p>
    <w:p w14:paraId="62507385" w14:textId="77777777" w:rsidR="00D860EB" w:rsidRDefault="00D860EB" w:rsidP="00D860EB">
      <w:pPr>
        <w:pStyle w:val="ListBullet"/>
        <w:rPr>
          <w:sz w:val="24"/>
        </w:rPr>
      </w:pPr>
      <w:r w:rsidRPr="690D41A3">
        <w:rPr>
          <w:sz w:val="24"/>
        </w:rPr>
        <w:t>Creativity</w:t>
      </w:r>
    </w:p>
    <w:p w14:paraId="436C9B25" w14:textId="77777777" w:rsidR="00D860EB" w:rsidRDefault="00D860EB" w:rsidP="00D860EB">
      <w:pPr>
        <w:pStyle w:val="ListBullet"/>
        <w:rPr>
          <w:sz w:val="24"/>
        </w:rPr>
      </w:pPr>
      <w:r w:rsidRPr="690D41A3">
        <w:rPr>
          <w:sz w:val="24"/>
        </w:rPr>
        <w:t>Diversity</w:t>
      </w:r>
    </w:p>
    <w:p w14:paraId="6F48546F" w14:textId="388DEB29" w:rsidR="00D860EB" w:rsidRDefault="00D860EB" w:rsidP="00473763">
      <w:pPr>
        <w:pStyle w:val="ListBullet"/>
      </w:pPr>
      <w:r w:rsidRPr="00B93D5C">
        <w:rPr>
          <w:sz w:val="24"/>
        </w:rPr>
        <w:t>Accountability</w:t>
      </w:r>
      <w:r w:rsidR="00B93D5C" w:rsidRPr="00B93D5C">
        <w:rPr>
          <w:sz w:val="24"/>
        </w:rPr>
        <w:t xml:space="preserve">. </w:t>
      </w:r>
    </w:p>
    <w:p w14:paraId="188725F2" w14:textId="6AB62963" w:rsidR="003F3476" w:rsidRDefault="003F3476" w:rsidP="003F3476">
      <w:pPr>
        <w:pStyle w:val="Heading1"/>
      </w:pPr>
      <w:r>
        <w:br w:type="column"/>
      </w:r>
      <w:r>
        <w:lastRenderedPageBreak/>
        <w:t>Our Approach</w:t>
      </w:r>
    </w:p>
    <w:p w14:paraId="13C76B51" w14:textId="77777777" w:rsidR="003F3476" w:rsidRDefault="003F3476" w:rsidP="690D41A3">
      <w:pPr>
        <w:rPr>
          <w:sz w:val="24"/>
          <w:szCs w:val="24"/>
        </w:rPr>
      </w:pPr>
      <w:r w:rsidRPr="690D41A3">
        <w:rPr>
          <w:sz w:val="24"/>
          <w:szCs w:val="24"/>
        </w:rPr>
        <w:t>We will:</w:t>
      </w:r>
    </w:p>
    <w:p w14:paraId="646CB0F4" w14:textId="77777777" w:rsidR="003F3476" w:rsidRDefault="003F3476" w:rsidP="003F3476">
      <w:pPr>
        <w:pStyle w:val="ListBullet"/>
        <w:rPr>
          <w:sz w:val="24"/>
        </w:rPr>
      </w:pPr>
      <w:r w:rsidRPr="690D41A3">
        <w:rPr>
          <w:sz w:val="24"/>
        </w:rPr>
        <w:t>Work with our members’ experiences as women with disabilities.</w:t>
      </w:r>
    </w:p>
    <w:p w14:paraId="38CD7920" w14:textId="77777777" w:rsidR="003F3476" w:rsidRDefault="003F3476" w:rsidP="003F3476">
      <w:pPr>
        <w:pStyle w:val="ListBullet"/>
        <w:rPr>
          <w:sz w:val="24"/>
        </w:rPr>
      </w:pPr>
      <w:r w:rsidRPr="690D41A3">
        <w:rPr>
          <w:sz w:val="24"/>
        </w:rPr>
        <w:t>Provide specialist policy advice and representation to government.</w:t>
      </w:r>
    </w:p>
    <w:p w14:paraId="3DAC9D76" w14:textId="77777777" w:rsidR="003F3476" w:rsidRDefault="003F3476" w:rsidP="003F3476">
      <w:pPr>
        <w:pStyle w:val="ListBullet"/>
        <w:rPr>
          <w:sz w:val="24"/>
        </w:rPr>
      </w:pPr>
      <w:r w:rsidRPr="690D41A3">
        <w:rPr>
          <w:sz w:val="24"/>
        </w:rPr>
        <w:t>Create opportunities for women with disabilities to realise their leadership and advocacy potential.</w:t>
      </w:r>
    </w:p>
    <w:p w14:paraId="222193BB" w14:textId="77777777" w:rsidR="003F3476" w:rsidRDefault="003F3476" w:rsidP="003F3476">
      <w:pPr>
        <w:pStyle w:val="ListBullet"/>
        <w:rPr>
          <w:sz w:val="24"/>
        </w:rPr>
      </w:pPr>
      <w:r w:rsidRPr="690D41A3">
        <w:rPr>
          <w:sz w:val="24"/>
        </w:rPr>
        <w:t>Adopt a collaborative approach to government and community organisations.</w:t>
      </w:r>
    </w:p>
    <w:p w14:paraId="7D2D3AEE" w14:textId="77777777" w:rsidR="003F3476" w:rsidRDefault="003F3476" w:rsidP="003F3476">
      <w:pPr>
        <w:pStyle w:val="ListBullet"/>
        <w:rPr>
          <w:sz w:val="24"/>
        </w:rPr>
      </w:pPr>
      <w:r w:rsidRPr="690D41A3">
        <w:rPr>
          <w:sz w:val="24"/>
        </w:rPr>
        <w:t>Build the evidence base to develop and share knowledge and resources to inform best practice.</w:t>
      </w:r>
    </w:p>
    <w:p w14:paraId="3717AE11" w14:textId="77777777" w:rsidR="00D860EB" w:rsidRDefault="003F3476" w:rsidP="003F3476">
      <w:pPr>
        <w:pStyle w:val="ListBullet"/>
        <w:rPr>
          <w:sz w:val="24"/>
        </w:rPr>
      </w:pPr>
      <w:r w:rsidRPr="690D41A3">
        <w:rPr>
          <w:sz w:val="24"/>
        </w:rPr>
        <w:t>Monitor our work and report on outcomes.</w:t>
      </w:r>
    </w:p>
    <w:p w14:paraId="66C766A6" w14:textId="0AB9DA94" w:rsidR="00C40143" w:rsidRDefault="00C40143" w:rsidP="00D860EB"/>
    <w:p w14:paraId="6537C745" w14:textId="77777777" w:rsidR="00D860EB" w:rsidRDefault="00D860EB" w:rsidP="00D860EB"/>
    <w:p w14:paraId="0DFF1E35" w14:textId="77777777" w:rsidR="00C40143" w:rsidRDefault="00C40143" w:rsidP="00D860EB">
      <w:r>
        <w:rPr>
          <w:noProof/>
          <w:lang w:eastAsia="en-AU"/>
        </w:rPr>
        <w:drawing>
          <wp:inline distT="0" distB="0" distL="0" distR="0" wp14:anchorId="1009D223" wp14:editId="1F980CCB">
            <wp:extent cx="2969895" cy="517923"/>
            <wp:effectExtent l="0" t="0" r="1905" b="0"/>
            <wp:docPr id="4" name="Picture 4" descr="Women with Disabilitie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omen with Disabilities Victoria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9895" cy="517923"/>
                    </a:xfrm>
                    <a:prstGeom prst="rect">
                      <a:avLst/>
                    </a:prstGeom>
                  </pic:spPr>
                </pic:pic>
              </a:graphicData>
            </a:graphic>
          </wp:inline>
        </w:drawing>
      </w:r>
    </w:p>
    <w:p w14:paraId="659D3BB0" w14:textId="77777777" w:rsidR="00C40143" w:rsidRDefault="00C40143" w:rsidP="690D41A3">
      <w:pPr>
        <w:rPr>
          <w:sz w:val="24"/>
          <w:szCs w:val="24"/>
        </w:rPr>
      </w:pPr>
      <w:r w:rsidRPr="690D41A3">
        <w:rPr>
          <w:sz w:val="24"/>
          <w:szCs w:val="24"/>
        </w:rPr>
        <w:t xml:space="preserve">Women with Disabilities Victoria acknowledges Aboriginal and Torres Strait Islander peoples as the first inhabitants and traditional custodians of the lands on which we live and work. We pay our respects to ancestors and Elders, past, </w:t>
      </w:r>
      <w:proofErr w:type="gramStart"/>
      <w:r w:rsidRPr="690D41A3">
        <w:rPr>
          <w:sz w:val="24"/>
          <w:szCs w:val="24"/>
        </w:rPr>
        <w:t>present</w:t>
      </w:r>
      <w:proofErr w:type="gramEnd"/>
      <w:r w:rsidRPr="690D41A3">
        <w:rPr>
          <w:sz w:val="24"/>
          <w:szCs w:val="24"/>
        </w:rPr>
        <w:t xml:space="preserve"> and emerging.</w:t>
      </w:r>
    </w:p>
    <w:p w14:paraId="703FA5FB" w14:textId="77777777" w:rsidR="00473763" w:rsidRDefault="00C40143" w:rsidP="690D41A3">
      <w:pPr>
        <w:rPr>
          <w:sz w:val="24"/>
          <w:szCs w:val="24"/>
        </w:rPr>
      </w:pPr>
      <w:r w:rsidRPr="690D41A3">
        <w:rPr>
          <w:sz w:val="24"/>
          <w:szCs w:val="24"/>
        </w:rPr>
        <w:t>The WDV Community is committed to honouring the unique cultural and spiritual relationship Aboriginal and Torres Strait Islander peoples have with the land and waters, and their rich contribution to society.</w:t>
      </w:r>
    </w:p>
    <w:p w14:paraId="775D37DE" w14:textId="77777777" w:rsidR="00897980" w:rsidRDefault="00897980" w:rsidP="00C40143">
      <w:pPr>
        <w:sectPr w:rsidR="00897980" w:rsidSect="00150A9B">
          <w:footerReference w:type="default" r:id="rId13"/>
          <w:pgSz w:w="11906" w:h="16838" w:code="9"/>
          <w:pgMar w:top="992" w:right="851" w:bottom="992" w:left="851" w:header="567" w:footer="567" w:gutter="0"/>
          <w:cols w:space="567"/>
          <w:docGrid w:linePitch="360"/>
        </w:sectPr>
      </w:pPr>
    </w:p>
    <w:p w14:paraId="3629853B" w14:textId="55ECE00F" w:rsidR="00473763" w:rsidRDefault="00897980" w:rsidP="00897980">
      <w:pPr>
        <w:pStyle w:val="Heading1"/>
      </w:pPr>
      <w:r>
        <w:lastRenderedPageBreak/>
        <w:t>Acting CEO and Board Statements</w:t>
      </w:r>
    </w:p>
    <w:p w14:paraId="16235067" w14:textId="77777777" w:rsidR="00BD783F" w:rsidRDefault="00BD783F" w:rsidP="00C40143">
      <w:pPr>
        <w:sectPr w:rsidR="00BD783F" w:rsidSect="00DD2184">
          <w:pgSz w:w="11906" w:h="16838" w:code="9"/>
          <w:pgMar w:top="992" w:right="851" w:bottom="992" w:left="851" w:header="567" w:footer="567" w:gutter="0"/>
          <w:cols w:space="567"/>
          <w:docGrid w:linePitch="360"/>
        </w:sectPr>
      </w:pPr>
    </w:p>
    <w:p w14:paraId="4D9A256B" w14:textId="3C4190F1" w:rsidR="007B246D" w:rsidRDefault="00BD783F" w:rsidP="00BD783F">
      <w:pPr>
        <w:pStyle w:val="Heading3"/>
      </w:pPr>
      <w:r>
        <w:rPr>
          <w:noProof/>
          <w:lang w:val="en-AU" w:eastAsia="en-AU"/>
        </w:rPr>
        <w:drawing>
          <wp:inline distT="0" distB="0" distL="0" distR="0" wp14:anchorId="241C5834" wp14:editId="50B68923">
            <wp:extent cx="955343" cy="955343"/>
            <wp:effectExtent l="0" t="0" r="0" b="0"/>
            <wp:docPr id="5" name="Picture 5" descr="Photo of Nadia Mattiazzo, Acting CEO. Nadia is a white woman with short brown hair. Her head and shoulders are visible in the photo and she is wearing a light coloure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hoto of Nadia Mattiazzo, Acting CEO. Nadia is a white woman with short brown hair. Her head and shoulders are visible in the photo and she is wearing a light coloured to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8246" cy="958246"/>
                    </a:xfrm>
                    <a:prstGeom prst="rect">
                      <a:avLst/>
                    </a:prstGeom>
                  </pic:spPr>
                </pic:pic>
              </a:graphicData>
            </a:graphic>
          </wp:inline>
        </w:drawing>
      </w:r>
      <w:r>
        <w:t xml:space="preserve"> </w:t>
      </w:r>
    </w:p>
    <w:p w14:paraId="7F0CDA5B" w14:textId="255BCB7C" w:rsidR="00BD783F" w:rsidRPr="00BD783F" w:rsidRDefault="00BD783F" w:rsidP="00BD783F">
      <w:pPr>
        <w:pStyle w:val="Heading3"/>
      </w:pPr>
      <w:r>
        <w:t>Acting CEO Report</w:t>
      </w:r>
    </w:p>
    <w:p w14:paraId="6363E9C6" w14:textId="4131F929" w:rsidR="00BD783F" w:rsidRDefault="00BD783F" w:rsidP="690D41A3">
      <w:pPr>
        <w:rPr>
          <w:sz w:val="24"/>
          <w:szCs w:val="24"/>
        </w:rPr>
      </w:pPr>
      <w:r w:rsidRPr="690D41A3">
        <w:rPr>
          <w:sz w:val="24"/>
          <w:szCs w:val="24"/>
        </w:rPr>
        <w:t xml:space="preserve">This year has continued to be a mix of great achievements and enormous challenges, not just for us, but for everyone. We worked remotely, worked face to face and a combination of both. </w:t>
      </w:r>
    </w:p>
    <w:p w14:paraId="0B0C4BF7" w14:textId="66D6299A" w:rsidR="00BD783F" w:rsidRDefault="00BD783F" w:rsidP="690D41A3">
      <w:pPr>
        <w:rPr>
          <w:sz w:val="24"/>
          <w:szCs w:val="24"/>
        </w:rPr>
      </w:pPr>
      <w:r w:rsidRPr="690D41A3">
        <w:rPr>
          <w:sz w:val="24"/>
          <w:szCs w:val="24"/>
        </w:rPr>
        <w:t xml:space="preserve">Our Community Inclusion and Women’s Empowerment Program has finalised a project which identified barriers for older women, delivered workshops for women with disabilities and relevant community organisations regarding the Our Right to Safety and Respect Resource, commenced reviewing and scoping current and future engagement with our youth community as well as engaging with partners to deliver our next </w:t>
      </w:r>
      <w:hyperlink r:id="rId15">
        <w:r w:rsidRPr="690D41A3">
          <w:rPr>
            <w:rStyle w:val="Hyperlink"/>
            <w:sz w:val="24"/>
            <w:szCs w:val="24"/>
          </w:rPr>
          <w:t>Enabling Women Leadership Program</w:t>
        </w:r>
      </w:hyperlink>
      <w:r w:rsidRPr="690D41A3">
        <w:rPr>
          <w:sz w:val="24"/>
          <w:szCs w:val="24"/>
        </w:rPr>
        <w:t xml:space="preserve">. We have grown our leadership Hubs to 4 and they are undertaking an amazing range of activities in a very challenging environment. </w:t>
      </w:r>
    </w:p>
    <w:p w14:paraId="71CAFFF2" w14:textId="77777777" w:rsidR="00BD783F" w:rsidRDefault="00BD783F" w:rsidP="690D41A3">
      <w:pPr>
        <w:rPr>
          <w:sz w:val="24"/>
          <w:szCs w:val="24"/>
        </w:rPr>
      </w:pPr>
      <w:r w:rsidRPr="690D41A3">
        <w:rPr>
          <w:sz w:val="24"/>
          <w:szCs w:val="24"/>
        </w:rPr>
        <w:t xml:space="preserve">The Workforce Development team has also moved to an online delivery mode, continuing to be busy delivering training, developing </w:t>
      </w:r>
      <w:proofErr w:type="gramStart"/>
      <w:r w:rsidRPr="690D41A3">
        <w:rPr>
          <w:sz w:val="24"/>
          <w:szCs w:val="24"/>
        </w:rPr>
        <w:t>resources</w:t>
      </w:r>
      <w:proofErr w:type="gramEnd"/>
      <w:r w:rsidRPr="690D41A3">
        <w:rPr>
          <w:sz w:val="24"/>
          <w:szCs w:val="24"/>
        </w:rPr>
        <w:t xml:space="preserve"> and offering advice and consultation through our Experts by Experience, a team of women with disabilities.</w:t>
      </w:r>
    </w:p>
    <w:p w14:paraId="13C9D01E" w14:textId="77777777" w:rsidR="00BD783F" w:rsidRDefault="00BD783F" w:rsidP="690D41A3">
      <w:pPr>
        <w:rPr>
          <w:sz w:val="24"/>
          <w:szCs w:val="24"/>
        </w:rPr>
      </w:pPr>
      <w:r w:rsidRPr="690D41A3">
        <w:rPr>
          <w:sz w:val="24"/>
          <w:szCs w:val="24"/>
        </w:rPr>
        <w:t xml:space="preserve">We have also received some Federal Government funding to implement our new Health Services Program which is also using the Expert by Experience model to build expertise, deliver resources and work with partner health organisations and hard-to-reach women with disabilities to discuss and promote equitable access to health services. </w:t>
      </w:r>
    </w:p>
    <w:p w14:paraId="4041C346" w14:textId="77777777" w:rsidR="00BD783F" w:rsidRDefault="00BD783F" w:rsidP="690D41A3">
      <w:pPr>
        <w:rPr>
          <w:sz w:val="24"/>
          <w:szCs w:val="24"/>
        </w:rPr>
      </w:pPr>
      <w:r w:rsidRPr="690D41A3">
        <w:rPr>
          <w:sz w:val="24"/>
          <w:szCs w:val="24"/>
        </w:rPr>
        <w:t xml:space="preserve">We continue to engage with government about the very particular effects of the pandemic on women with disabilities – both good and bad. We would like to thank </w:t>
      </w:r>
      <w:proofErr w:type="gramStart"/>
      <w:r w:rsidRPr="690D41A3">
        <w:rPr>
          <w:sz w:val="24"/>
          <w:szCs w:val="24"/>
        </w:rPr>
        <w:t>all of</w:t>
      </w:r>
      <w:proofErr w:type="gramEnd"/>
      <w:r w:rsidRPr="690D41A3">
        <w:rPr>
          <w:sz w:val="24"/>
          <w:szCs w:val="24"/>
        </w:rPr>
        <w:t xml:space="preserve"> our project partners, state and federal government and those we work with in the community sector who have supported our work during this financial year.</w:t>
      </w:r>
    </w:p>
    <w:p w14:paraId="4BC362C5" w14:textId="35ED2CFF" w:rsidR="00473763" w:rsidRDefault="00BD783F" w:rsidP="00BD783F">
      <w:pPr>
        <w:rPr>
          <w:rStyle w:val="Strong"/>
        </w:rPr>
      </w:pPr>
      <w:r w:rsidRPr="00BD783F">
        <w:rPr>
          <w:rStyle w:val="Strong"/>
        </w:rPr>
        <w:t>Nadia Mattiazzo, Acting CEO</w:t>
      </w:r>
    </w:p>
    <w:p w14:paraId="0C050B7C" w14:textId="77777777" w:rsidR="00150A9B" w:rsidRDefault="00150A9B" w:rsidP="00BD783F">
      <w:pPr>
        <w:rPr>
          <w:rStyle w:val="Strong"/>
        </w:rPr>
      </w:pPr>
    </w:p>
    <w:p w14:paraId="7828D283" w14:textId="77777777" w:rsidR="00150A9B" w:rsidRDefault="00150A9B" w:rsidP="00BD783F">
      <w:pPr>
        <w:rPr>
          <w:rStyle w:val="Strong"/>
        </w:rPr>
      </w:pPr>
    </w:p>
    <w:p w14:paraId="76C07F64" w14:textId="77777777" w:rsidR="00150A9B" w:rsidRDefault="00150A9B" w:rsidP="00BD783F">
      <w:pPr>
        <w:rPr>
          <w:rStyle w:val="Strong"/>
        </w:rPr>
      </w:pPr>
    </w:p>
    <w:p w14:paraId="347E3A0D" w14:textId="77777777" w:rsidR="00150A9B" w:rsidRDefault="00150A9B" w:rsidP="00BD783F">
      <w:pPr>
        <w:rPr>
          <w:rStyle w:val="Strong"/>
        </w:rPr>
      </w:pPr>
    </w:p>
    <w:p w14:paraId="505624DF" w14:textId="77777777" w:rsidR="00150A9B" w:rsidRPr="00BD783F" w:rsidRDefault="00150A9B" w:rsidP="00BD783F">
      <w:pPr>
        <w:rPr>
          <w:rStyle w:val="Strong"/>
        </w:rPr>
      </w:pPr>
    </w:p>
    <w:p w14:paraId="5885F02D" w14:textId="77777777" w:rsidR="007B246D" w:rsidRDefault="007B246D" w:rsidP="00BD783F">
      <w:pPr>
        <w:pStyle w:val="Heading3"/>
      </w:pPr>
      <w:r>
        <w:rPr>
          <w:noProof/>
          <w:lang w:val="en-AU" w:eastAsia="en-AU"/>
        </w:rPr>
        <w:lastRenderedPageBreak/>
        <w:drawing>
          <wp:inline distT="0" distB="0" distL="0" distR="0" wp14:anchorId="2AB809A4" wp14:editId="17ED6B0A">
            <wp:extent cx="900752" cy="900752"/>
            <wp:effectExtent l="0" t="0" r="0" b="0"/>
            <wp:docPr id="6" name="Picture 6" descr="Headshot of Imogen Newhouse, Board Chair. Imogen is wearing glasses with bright blue frames. Imogen is smiling at the camera and has straight blonde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eadshot of Imogen Newhouse, Board Chair. Imogen is wearing glasses with bright blue frames. Imogen is smiling at the camera and has straight blonde hair."/>
                    <pic:cNvPicPr/>
                  </pic:nvPicPr>
                  <pic:blipFill>
                    <a:blip r:embed="rId16">
                      <a:extLst>
                        <a:ext uri="{28A0092B-C50C-407E-A947-70E740481C1C}">
                          <a14:useLocalDpi xmlns:a14="http://schemas.microsoft.com/office/drawing/2010/main" val="0"/>
                        </a:ext>
                      </a:extLst>
                    </a:blip>
                    <a:stretch>
                      <a:fillRect/>
                    </a:stretch>
                  </pic:blipFill>
                  <pic:spPr>
                    <a:xfrm>
                      <a:off x="0" y="0"/>
                      <a:ext cx="908283" cy="908283"/>
                    </a:xfrm>
                    <a:prstGeom prst="rect">
                      <a:avLst/>
                    </a:prstGeom>
                  </pic:spPr>
                </pic:pic>
              </a:graphicData>
            </a:graphic>
          </wp:inline>
        </w:drawing>
      </w:r>
    </w:p>
    <w:p w14:paraId="39CE58DB" w14:textId="64D19D21" w:rsidR="00BD783F" w:rsidRDefault="00BD783F" w:rsidP="00BD783F">
      <w:pPr>
        <w:pStyle w:val="Heading3"/>
      </w:pPr>
      <w:r>
        <w:t>WDV Board Chair Report</w:t>
      </w:r>
    </w:p>
    <w:p w14:paraId="3C33A9B1" w14:textId="56AA17D7" w:rsidR="00BD783F" w:rsidRDefault="00BD783F" w:rsidP="690D41A3">
      <w:pPr>
        <w:rPr>
          <w:sz w:val="24"/>
          <w:szCs w:val="24"/>
        </w:rPr>
      </w:pPr>
      <w:r w:rsidRPr="690D41A3">
        <w:rPr>
          <w:sz w:val="24"/>
          <w:szCs w:val="24"/>
        </w:rPr>
        <w:t xml:space="preserve">This year, the </w:t>
      </w:r>
      <w:hyperlink r:id="rId17">
        <w:r w:rsidRPr="690D41A3">
          <w:rPr>
            <w:rStyle w:val="Hyperlink"/>
            <w:sz w:val="24"/>
            <w:szCs w:val="24"/>
          </w:rPr>
          <w:t>Board</w:t>
        </w:r>
      </w:hyperlink>
      <w:r w:rsidRPr="690D41A3">
        <w:rPr>
          <w:sz w:val="24"/>
          <w:szCs w:val="24"/>
        </w:rPr>
        <w:t xml:space="preserve"> has once again focused on ensuring good oversight of WDV during the COVID-19 pandemic. We continued to implement the </w:t>
      </w:r>
      <w:hyperlink r:id="rId18">
        <w:r w:rsidRPr="690D41A3">
          <w:rPr>
            <w:rStyle w:val="Hyperlink"/>
            <w:sz w:val="24"/>
            <w:szCs w:val="24"/>
          </w:rPr>
          <w:t>2021-2024 Strategic Plan</w:t>
        </w:r>
      </w:hyperlink>
      <w:r w:rsidRPr="690D41A3">
        <w:rPr>
          <w:sz w:val="24"/>
          <w:szCs w:val="24"/>
        </w:rPr>
        <w:t xml:space="preserve"> and worked on improving our intersectionality, including gender inclusion and anti-racism.</w:t>
      </w:r>
    </w:p>
    <w:p w14:paraId="2501C6DD" w14:textId="708B4846" w:rsidR="00BD783F" w:rsidRDefault="00BD783F" w:rsidP="690D41A3">
      <w:pPr>
        <w:rPr>
          <w:sz w:val="24"/>
          <w:szCs w:val="24"/>
        </w:rPr>
      </w:pPr>
      <w:r w:rsidRPr="690D41A3">
        <w:rPr>
          <w:sz w:val="24"/>
          <w:szCs w:val="24"/>
        </w:rPr>
        <w:t xml:space="preserve">The Board also participated in good governance training and released a </w:t>
      </w:r>
      <w:hyperlink r:id="rId19">
        <w:r w:rsidRPr="690D41A3">
          <w:rPr>
            <w:rStyle w:val="Hyperlink"/>
            <w:sz w:val="24"/>
            <w:szCs w:val="24"/>
          </w:rPr>
          <w:t>position statement</w:t>
        </w:r>
      </w:hyperlink>
      <w:r w:rsidRPr="690D41A3">
        <w:rPr>
          <w:sz w:val="24"/>
          <w:szCs w:val="24"/>
        </w:rPr>
        <w:t xml:space="preserve"> on NDIS independent assessments. The WDV Board welcomed four new members; </w:t>
      </w:r>
      <w:proofErr w:type="spellStart"/>
      <w:r w:rsidRPr="690D41A3">
        <w:rPr>
          <w:sz w:val="24"/>
          <w:szCs w:val="24"/>
        </w:rPr>
        <w:t>Anaab</w:t>
      </w:r>
      <w:proofErr w:type="spellEnd"/>
      <w:r w:rsidRPr="690D41A3">
        <w:rPr>
          <w:sz w:val="24"/>
          <w:szCs w:val="24"/>
        </w:rPr>
        <w:t xml:space="preserve"> </w:t>
      </w:r>
      <w:proofErr w:type="spellStart"/>
      <w:r w:rsidRPr="690D41A3">
        <w:rPr>
          <w:sz w:val="24"/>
          <w:szCs w:val="24"/>
        </w:rPr>
        <w:t>Rooble</w:t>
      </w:r>
      <w:proofErr w:type="spellEnd"/>
      <w:r w:rsidRPr="690D41A3">
        <w:rPr>
          <w:sz w:val="24"/>
          <w:szCs w:val="24"/>
        </w:rPr>
        <w:t xml:space="preserve">, Shakira Hussein, Pan </w:t>
      </w:r>
      <w:proofErr w:type="spellStart"/>
      <w:r w:rsidRPr="690D41A3">
        <w:rPr>
          <w:sz w:val="24"/>
          <w:szCs w:val="24"/>
        </w:rPr>
        <w:t>Karanikolas</w:t>
      </w:r>
      <w:proofErr w:type="spellEnd"/>
      <w:r w:rsidRPr="690D41A3">
        <w:rPr>
          <w:sz w:val="24"/>
          <w:szCs w:val="24"/>
        </w:rPr>
        <w:t xml:space="preserve"> and Diana </w:t>
      </w:r>
      <w:proofErr w:type="spellStart"/>
      <w:r w:rsidRPr="690D41A3">
        <w:rPr>
          <w:sz w:val="24"/>
          <w:szCs w:val="24"/>
        </w:rPr>
        <w:t>Piantedosi</w:t>
      </w:r>
      <w:proofErr w:type="spellEnd"/>
      <w:r w:rsidRPr="690D41A3">
        <w:rPr>
          <w:sz w:val="24"/>
          <w:szCs w:val="24"/>
        </w:rPr>
        <w:t xml:space="preserve"> and bid a fond farewell to outgoing Board Chairs </w:t>
      </w:r>
      <w:proofErr w:type="spellStart"/>
      <w:r w:rsidRPr="690D41A3">
        <w:rPr>
          <w:sz w:val="24"/>
          <w:szCs w:val="24"/>
        </w:rPr>
        <w:t>Saphron</w:t>
      </w:r>
      <w:proofErr w:type="spellEnd"/>
      <w:r w:rsidRPr="690D41A3">
        <w:rPr>
          <w:sz w:val="24"/>
          <w:szCs w:val="24"/>
        </w:rPr>
        <w:t xml:space="preserve"> Hastie and Esperanza Torres, and Board Member Trudy Ryall. We would like to thank </w:t>
      </w:r>
      <w:proofErr w:type="spellStart"/>
      <w:r w:rsidRPr="690D41A3">
        <w:rPr>
          <w:sz w:val="24"/>
          <w:szCs w:val="24"/>
        </w:rPr>
        <w:t>Saphron</w:t>
      </w:r>
      <w:proofErr w:type="spellEnd"/>
      <w:r w:rsidRPr="690D41A3">
        <w:rPr>
          <w:sz w:val="24"/>
          <w:szCs w:val="24"/>
        </w:rPr>
        <w:t xml:space="preserve">, Esperanza and Trudy for their dedication and commitment to WDV during their Board tenure. Changes in senior management roles also occurred this year. CEO, Leah van </w:t>
      </w:r>
      <w:proofErr w:type="spellStart"/>
      <w:r w:rsidRPr="690D41A3">
        <w:rPr>
          <w:sz w:val="24"/>
          <w:szCs w:val="24"/>
        </w:rPr>
        <w:t>Poppel</w:t>
      </w:r>
      <w:proofErr w:type="spellEnd"/>
      <w:r w:rsidRPr="690D41A3">
        <w:rPr>
          <w:sz w:val="24"/>
          <w:szCs w:val="24"/>
        </w:rPr>
        <w:t xml:space="preserve"> continued to lead the WDV team throughout the year and was strongly supported by Nadia Mattiazzo in the roles of Deputy CEO and more recently Acting CEO as Leah took a leave of absence to focus on family.</w:t>
      </w:r>
    </w:p>
    <w:p w14:paraId="5036E4C6" w14:textId="160B6D76" w:rsidR="00BD783F" w:rsidRDefault="00BD783F" w:rsidP="690D41A3">
      <w:pPr>
        <w:rPr>
          <w:sz w:val="24"/>
          <w:szCs w:val="24"/>
        </w:rPr>
      </w:pPr>
      <w:r w:rsidRPr="690D41A3">
        <w:rPr>
          <w:sz w:val="24"/>
          <w:szCs w:val="24"/>
        </w:rPr>
        <w:t>The Board has been pleased to be able to support WDV to find solutions to help reduce the barriers women with disabilities face in</w:t>
      </w:r>
      <w:r w:rsidR="007B246D" w:rsidRPr="690D41A3">
        <w:rPr>
          <w:sz w:val="24"/>
          <w:szCs w:val="24"/>
        </w:rPr>
        <w:t xml:space="preserve"> </w:t>
      </w:r>
      <w:r w:rsidRPr="690D41A3">
        <w:rPr>
          <w:sz w:val="24"/>
          <w:szCs w:val="24"/>
        </w:rPr>
        <w:t>achieving and staying in leadership positions and will continue to work to ensure that WDV has the best possible leadership. This year has, once again, been filled with uncertainty, with numerous lockdowns and restrictions continuing to change and affect workplaces throughout the state. The Board has continued to operate remotely, as this was the safest and most accessible option. It has been a challenging year for the staff as they navigated a year of constant change in working conditions.</w:t>
      </w:r>
    </w:p>
    <w:p w14:paraId="64F36D9F" w14:textId="27D3B626" w:rsidR="00BD783F" w:rsidRDefault="00BD783F" w:rsidP="690D41A3">
      <w:pPr>
        <w:rPr>
          <w:sz w:val="24"/>
          <w:szCs w:val="24"/>
        </w:rPr>
      </w:pPr>
      <w:r w:rsidRPr="690D41A3">
        <w:rPr>
          <w:sz w:val="24"/>
          <w:szCs w:val="24"/>
        </w:rPr>
        <w:t xml:space="preserve">The WDV Board are grateful for the achievements that </w:t>
      </w:r>
      <w:hyperlink r:id="rId20">
        <w:r w:rsidRPr="690D41A3">
          <w:rPr>
            <w:rStyle w:val="Hyperlink"/>
            <w:sz w:val="24"/>
            <w:szCs w:val="24"/>
          </w:rPr>
          <w:t>WDV staff</w:t>
        </w:r>
      </w:hyperlink>
      <w:r w:rsidRPr="690D41A3">
        <w:rPr>
          <w:sz w:val="24"/>
          <w:szCs w:val="24"/>
        </w:rPr>
        <w:t xml:space="preserve"> have made in such uncertain times</w:t>
      </w:r>
      <w:proofErr w:type="gramStart"/>
      <w:r w:rsidRPr="690D41A3">
        <w:rPr>
          <w:sz w:val="24"/>
          <w:szCs w:val="24"/>
        </w:rPr>
        <w:t xml:space="preserve">.  </w:t>
      </w:r>
      <w:proofErr w:type="gramEnd"/>
      <w:r w:rsidRPr="690D41A3">
        <w:rPr>
          <w:sz w:val="24"/>
          <w:szCs w:val="24"/>
        </w:rPr>
        <w:t xml:space="preserve"> </w:t>
      </w:r>
    </w:p>
    <w:p w14:paraId="3FB4FB37" w14:textId="4C25A568" w:rsidR="00052397" w:rsidRDefault="00BD783F" w:rsidP="00BD783F">
      <w:pPr>
        <w:rPr>
          <w:rStyle w:val="Strong"/>
        </w:rPr>
      </w:pPr>
      <w:r w:rsidRPr="00BD783F">
        <w:rPr>
          <w:rStyle w:val="Strong"/>
        </w:rPr>
        <w:t>Imogen Newhouse, Board Chair</w:t>
      </w:r>
    </w:p>
    <w:p w14:paraId="51CDA2E8" w14:textId="77777777" w:rsidR="00DD12A1" w:rsidRDefault="00DD12A1" w:rsidP="00BD783F">
      <w:pPr>
        <w:rPr>
          <w:rStyle w:val="Strong"/>
        </w:rPr>
        <w:sectPr w:rsidR="00DD12A1" w:rsidSect="00150A9B">
          <w:type w:val="continuous"/>
          <w:pgSz w:w="11906" w:h="16838" w:code="9"/>
          <w:pgMar w:top="992" w:right="851" w:bottom="992" w:left="851" w:header="567" w:footer="567" w:gutter="0"/>
          <w:cols w:space="284"/>
          <w:docGrid w:linePitch="360"/>
        </w:sectPr>
      </w:pPr>
    </w:p>
    <w:p w14:paraId="535A70D1" w14:textId="10F3DD2E" w:rsidR="00DD12A1" w:rsidRPr="00602D25" w:rsidRDefault="00621A67" w:rsidP="00602D25">
      <w:pPr>
        <w:pStyle w:val="Heading1"/>
        <w:rPr>
          <w:rStyle w:val="Strong"/>
          <w:b w:val="0"/>
          <w:bCs/>
        </w:rPr>
      </w:pPr>
      <w:r w:rsidRPr="00602D25">
        <w:rPr>
          <w:rStyle w:val="Strong"/>
          <w:b w:val="0"/>
          <w:bCs/>
        </w:rPr>
        <w:lastRenderedPageBreak/>
        <w:t>Goal 1: Visibility and Voice</w:t>
      </w:r>
    </w:p>
    <w:p w14:paraId="7678DBCA" w14:textId="68F07979" w:rsidR="00EC299C" w:rsidRDefault="00EC299C" w:rsidP="00EC299C">
      <w:pPr>
        <w:pStyle w:val="Highlight-Pink"/>
      </w:pPr>
      <w:r w:rsidRPr="00EC299C">
        <w:t>Engage women with disabilities, build our self-advocacy and strengthen our membership across Victoria</w:t>
      </w:r>
    </w:p>
    <w:p w14:paraId="4B7E3A6E" w14:textId="77777777" w:rsidR="006B63E3" w:rsidRDefault="006B63E3" w:rsidP="00EC299C">
      <w:pPr>
        <w:sectPr w:rsidR="006B63E3" w:rsidSect="00621A67">
          <w:pgSz w:w="11906" w:h="16838" w:code="9"/>
          <w:pgMar w:top="992" w:right="851" w:bottom="992" w:left="851" w:header="567" w:footer="567" w:gutter="0"/>
          <w:cols w:space="284"/>
          <w:docGrid w:linePitch="360"/>
        </w:sectPr>
      </w:pPr>
    </w:p>
    <w:p w14:paraId="214C6E76" w14:textId="77777777" w:rsidR="00160798" w:rsidRDefault="00160798" w:rsidP="00160798"/>
    <w:p w14:paraId="6434D32D" w14:textId="63AA8F68" w:rsidR="00160798" w:rsidRDefault="00160798" w:rsidP="690D41A3">
      <w:pPr>
        <w:rPr>
          <w:sz w:val="24"/>
          <w:szCs w:val="24"/>
        </w:rPr>
      </w:pPr>
      <w:r w:rsidRPr="690D41A3">
        <w:rPr>
          <w:sz w:val="24"/>
          <w:szCs w:val="24"/>
        </w:rPr>
        <w:t>Priorities include membership engagement strategies, continued development of regional hubs and Experts by Experience (EBE) and other opportunities that arise, using our decision-making principles.</w:t>
      </w:r>
    </w:p>
    <w:p w14:paraId="599640FC" w14:textId="77777777" w:rsidR="00160798" w:rsidRDefault="00160798" w:rsidP="690D41A3">
      <w:pPr>
        <w:rPr>
          <w:sz w:val="24"/>
          <w:szCs w:val="24"/>
        </w:rPr>
      </w:pPr>
      <w:r w:rsidRPr="690D41A3">
        <w:rPr>
          <w:sz w:val="24"/>
          <w:szCs w:val="24"/>
        </w:rPr>
        <w:t>Throughout the year our focus has been on increased engagement with WDV members through online member events, increased social media activity and information sessions providing members with more opportunities to be part of the WDV community.</w:t>
      </w:r>
    </w:p>
    <w:p w14:paraId="7447E301" w14:textId="77777777" w:rsidR="00160798" w:rsidRDefault="00160798" w:rsidP="690D41A3">
      <w:pPr>
        <w:rPr>
          <w:sz w:val="24"/>
          <w:szCs w:val="24"/>
        </w:rPr>
      </w:pPr>
      <w:r w:rsidRPr="690D41A3">
        <w:rPr>
          <w:sz w:val="24"/>
          <w:szCs w:val="24"/>
        </w:rPr>
        <w:t>WDV solidified its regional and rural community presence, connecting and listening to the members’ voices across the State whilst providing a safe and relaxing place to meet, establish new connections and foster ongoing friendships and connection with the local community. Members feel they have appropriate opportunities to engage with WDV.</w:t>
      </w:r>
    </w:p>
    <w:p w14:paraId="04DC86F1" w14:textId="09C40039" w:rsidR="00160798" w:rsidRDefault="00160798" w:rsidP="690D41A3">
      <w:pPr>
        <w:rPr>
          <w:sz w:val="24"/>
          <w:szCs w:val="24"/>
        </w:rPr>
      </w:pPr>
      <w:r w:rsidRPr="690D41A3">
        <w:rPr>
          <w:sz w:val="24"/>
          <w:szCs w:val="24"/>
        </w:rPr>
        <w:t xml:space="preserve">Throughout the year our Workforce Development and Community Inclusion and Women’s Empowerment Programs have developed the skills of program participants to </w:t>
      </w:r>
      <w:r w:rsidR="580EE6F6" w:rsidRPr="690D41A3">
        <w:rPr>
          <w:sz w:val="24"/>
          <w:szCs w:val="24"/>
        </w:rPr>
        <w:t>self-advocate</w:t>
      </w:r>
      <w:r w:rsidRPr="690D41A3">
        <w:rPr>
          <w:sz w:val="24"/>
          <w:szCs w:val="24"/>
        </w:rPr>
        <w:t xml:space="preserve"> and become leaders in their community as well as providing pathways to participation. WDV has worked to ensure women with disabilities have access to strength-based leadership training for all women with disabilities to participate, build confidence and be active in their local community. </w:t>
      </w:r>
    </w:p>
    <w:p w14:paraId="6FDDE0BD" w14:textId="77777777" w:rsidR="00160798" w:rsidRPr="00160798" w:rsidRDefault="00160798" w:rsidP="00160798">
      <w:r>
        <w:br w:type="column"/>
      </w:r>
    </w:p>
    <w:p w14:paraId="1B317C7B" w14:textId="1EB3B971" w:rsidR="00160798" w:rsidRDefault="00160798" w:rsidP="00160798">
      <w:pPr>
        <w:pStyle w:val="Heading3"/>
      </w:pPr>
      <w:r>
        <w:t>Community Inclusion and Women’s Empowerment Hubs</w:t>
      </w:r>
    </w:p>
    <w:p w14:paraId="5481459C" w14:textId="77777777" w:rsidR="00160798" w:rsidRDefault="00160798" w:rsidP="690D41A3">
      <w:pPr>
        <w:rPr>
          <w:sz w:val="24"/>
          <w:szCs w:val="24"/>
        </w:rPr>
      </w:pPr>
      <w:r w:rsidRPr="690D41A3">
        <w:rPr>
          <w:sz w:val="24"/>
          <w:szCs w:val="24"/>
        </w:rPr>
        <w:t xml:space="preserve">The WDV Community Inclusion and Women’s Empowerment team continues to develop and expand across the State with the establishment of a fourth Women’s Leadership Hub in Melbourne’s Outer East, meeting at </w:t>
      </w:r>
      <w:proofErr w:type="spellStart"/>
      <w:r w:rsidRPr="690D41A3">
        <w:rPr>
          <w:sz w:val="24"/>
          <w:szCs w:val="24"/>
        </w:rPr>
        <w:t>Coonara</w:t>
      </w:r>
      <w:proofErr w:type="spellEnd"/>
      <w:r w:rsidRPr="690D41A3">
        <w:rPr>
          <w:sz w:val="24"/>
          <w:szCs w:val="24"/>
        </w:rPr>
        <w:t xml:space="preserve"> Community House, the host organisation. This new Hub joins the already established Hubs in Warrnambool, </w:t>
      </w:r>
      <w:proofErr w:type="gramStart"/>
      <w:r w:rsidRPr="690D41A3">
        <w:rPr>
          <w:sz w:val="24"/>
          <w:szCs w:val="24"/>
        </w:rPr>
        <w:t>Moira</w:t>
      </w:r>
      <w:proofErr w:type="gramEnd"/>
      <w:r w:rsidRPr="690D41A3">
        <w:rPr>
          <w:sz w:val="24"/>
          <w:szCs w:val="24"/>
        </w:rPr>
        <w:t xml:space="preserve"> and Barwon. The Hubs provide an inclusive space for women with disabilities to meet and share real life experiences, challenges, </w:t>
      </w:r>
      <w:proofErr w:type="gramStart"/>
      <w:r w:rsidRPr="690D41A3">
        <w:rPr>
          <w:sz w:val="24"/>
          <w:szCs w:val="24"/>
        </w:rPr>
        <w:t>opportunities</w:t>
      </w:r>
      <w:proofErr w:type="gramEnd"/>
      <w:r w:rsidRPr="690D41A3">
        <w:rPr>
          <w:sz w:val="24"/>
          <w:szCs w:val="24"/>
        </w:rPr>
        <w:t xml:space="preserve"> and a sense of community.</w:t>
      </w:r>
    </w:p>
    <w:p w14:paraId="7E586415" w14:textId="796A712D" w:rsidR="00160798" w:rsidRPr="00160798" w:rsidRDefault="00FF51EA" w:rsidP="00160798">
      <w:pPr>
        <w:rPr>
          <w:rStyle w:val="IntenseEmphasis"/>
        </w:rPr>
      </w:pPr>
      <w:hyperlink r:id="rId21" w:history="1">
        <w:r w:rsidR="00160798" w:rsidRPr="004A2F88">
          <w:rPr>
            <w:rStyle w:val="Hyperlink"/>
            <w:sz w:val="24"/>
          </w:rPr>
          <w:t>Hubs</w:t>
        </w:r>
      </w:hyperlink>
      <w:r w:rsidR="00160798" w:rsidRPr="00160798">
        <w:rPr>
          <w:rStyle w:val="IntenseEmphasis"/>
        </w:rPr>
        <w:t xml:space="preserve"> are safe and welcoming spaces where women with disabilities connect with WDV, local government, health providers and disability agencies to develop community knowledge and promote positive inclusion in daily life.</w:t>
      </w:r>
    </w:p>
    <w:p w14:paraId="200487D8" w14:textId="77777777" w:rsidR="00160798" w:rsidRDefault="00160798" w:rsidP="690D41A3">
      <w:pPr>
        <w:rPr>
          <w:sz w:val="24"/>
          <w:szCs w:val="24"/>
        </w:rPr>
      </w:pPr>
      <w:r w:rsidRPr="690D41A3">
        <w:rPr>
          <w:sz w:val="24"/>
          <w:szCs w:val="24"/>
        </w:rPr>
        <w:t>Members are involved in a variety of activities from public speaking, systemic campaigns, creative projects, expert groups, committees and more.</w:t>
      </w:r>
    </w:p>
    <w:p w14:paraId="6C71186F" w14:textId="3813DCEE" w:rsidR="00EC299C" w:rsidRDefault="00160798" w:rsidP="690D41A3">
      <w:pPr>
        <w:rPr>
          <w:sz w:val="24"/>
          <w:szCs w:val="24"/>
        </w:rPr>
      </w:pPr>
      <w:r w:rsidRPr="690D41A3">
        <w:rPr>
          <w:sz w:val="24"/>
          <w:szCs w:val="24"/>
        </w:rPr>
        <w:t>The Hubs provide additional ‘Expert’ knowledge to WDV. Rural and regional connections are vital for a whole and inclusive picture of women with disabilities in Victoria. Elevating the voices of women with disabilities, building capacity for self-advocacy, this is the essence of a WDV Hub. They are a vital part of our organisation. WDV Hubs are our values in action.</w:t>
      </w:r>
    </w:p>
    <w:p w14:paraId="2FD66452" w14:textId="77777777" w:rsidR="004A4B00" w:rsidRDefault="004A4B00" w:rsidP="00160798">
      <w:pPr>
        <w:sectPr w:rsidR="004A4B00" w:rsidSect="006B63E3">
          <w:type w:val="continuous"/>
          <w:pgSz w:w="11906" w:h="16838" w:code="9"/>
          <w:pgMar w:top="992" w:right="851" w:bottom="992" w:left="851" w:header="567" w:footer="567" w:gutter="0"/>
          <w:cols w:num="2" w:space="284"/>
          <w:docGrid w:linePitch="360"/>
        </w:sectPr>
      </w:pPr>
    </w:p>
    <w:p w14:paraId="6D0F619D" w14:textId="149152AC" w:rsidR="00330E56" w:rsidRDefault="004A4B00" w:rsidP="00602D25">
      <w:pPr>
        <w:pStyle w:val="Heading1"/>
      </w:pPr>
      <w:r>
        <w:lastRenderedPageBreak/>
        <w:t>Goal 1: Facts and Figures</w:t>
      </w:r>
    </w:p>
    <w:p w14:paraId="75535DC9" w14:textId="5CD5E77B" w:rsidR="00905E04" w:rsidRDefault="00905E04" w:rsidP="003B5DBB"/>
    <w:p w14:paraId="151E31A7" w14:textId="77777777" w:rsidR="004B3917" w:rsidRDefault="004B3917" w:rsidP="003B5DBB"/>
    <w:p w14:paraId="261D5B0A" w14:textId="0C69FF68" w:rsidR="003B5DBB" w:rsidRPr="00977771" w:rsidRDefault="003B5DBB" w:rsidP="690D41A3">
      <w:pPr>
        <w:pStyle w:val="ListParagraph"/>
        <w:numPr>
          <w:ilvl w:val="0"/>
          <w:numId w:val="12"/>
        </w:numPr>
        <w:rPr>
          <w:rStyle w:val="BoldPurple"/>
          <w:sz w:val="24"/>
        </w:rPr>
      </w:pPr>
      <w:r w:rsidRPr="690D41A3">
        <w:rPr>
          <w:rStyle w:val="BoldPurple"/>
          <w:sz w:val="24"/>
        </w:rPr>
        <w:t>9</w:t>
      </w:r>
      <w:r w:rsidRPr="690D41A3">
        <w:rPr>
          <w:sz w:val="24"/>
        </w:rPr>
        <w:t xml:space="preserve"> online </w:t>
      </w:r>
      <w:r w:rsidRPr="690D41A3">
        <w:rPr>
          <w:rStyle w:val="BoldPurple"/>
          <w:sz w:val="24"/>
        </w:rPr>
        <w:t>member events</w:t>
      </w:r>
      <w:r w:rsidR="00F41C81" w:rsidRPr="690D41A3">
        <w:rPr>
          <w:rStyle w:val="BoldPurple"/>
          <w:sz w:val="24"/>
        </w:rPr>
        <w:t>.</w:t>
      </w:r>
    </w:p>
    <w:p w14:paraId="49572541" w14:textId="5977E969" w:rsidR="003B5DBB" w:rsidRPr="00977771" w:rsidRDefault="003B5DBB" w:rsidP="690D41A3">
      <w:pPr>
        <w:pStyle w:val="ListParagraph"/>
        <w:numPr>
          <w:ilvl w:val="0"/>
          <w:numId w:val="12"/>
        </w:numPr>
        <w:rPr>
          <w:rStyle w:val="BoldPurple"/>
          <w:sz w:val="24"/>
        </w:rPr>
      </w:pPr>
      <w:r w:rsidRPr="690D41A3">
        <w:rPr>
          <w:rStyle w:val="BoldPurple"/>
          <w:sz w:val="24"/>
        </w:rPr>
        <w:t>231 attendees</w:t>
      </w:r>
      <w:r w:rsidR="00F41C81" w:rsidRPr="690D41A3">
        <w:rPr>
          <w:rStyle w:val="BoldPurple"/>
          <w:sz w:val="24"/>
        </w:rPr>
        <w:t>.</w:t>
      </w:r>
    </w:p>
    <w:p w14:paraId="1D7BCE5B" w14:textId="68423690" w:rsidR="003B5DBB" w:rsidRDefault="003B5DBB" w:rsidP="690D41A3">
      <w:pPr>
        <w:pStyle w:val="ListParagraph"/>
        <w:numPr>
          <w:ilvl w:val="0"/>
          <w:numId w:val="12"/>
        </w:numPr>
        <w:rPr>
          <w:sz w:val="24"/>
        </w:rPr>
      </w:pPr>
      <w:r w:rsidRPr="690D41A3">
        <w:rPr>
          <w:rStyle w:val="BoldPurple"/>
          <w:sz w:val="24"/>
        </w:rPr>
        <w:t>25</w:t>
      </w:r>
      <w:r w:rsidRPr="690D41A3">
        <w:rPr>
          <w:sz w:val="24"/>
        </w:rPr>
        <w:t xml:space="preserve"> editions of e-news published with an average open rate of </w:t>
      </w:r>
      <w:r w:rsidRPr="690D41A3">
        <w:rPr>
          <w:rStyle w:val="BoldPurple"/>
          <w:sz w:val="24"/>
        </w:rPr>
        <w:t>30%</w:t>
      </w:r>
      <w:r w:rsidR="00F41C81" w:rsidRPr="690D41A3">
        <w:rPr>
          <w:rStyle w:val="BoldPurple"/>
          <w:sz w:val="24"/>
        </w:rPr>
        <w:t>.</w:t>
      </w:r>
    </w:p>
    <w:p w14:paraId="570BE662" w14:textId="4F340ED9" w:rsidR="003B5DBB" w:rsidRDefault="00BD52E1" w:rsidP="690D41A3">
      <w:pPr>
        <w:pStyle w:val="ListParagraph"/>
        <w:numPr>
          <w:ilvl w:val="0"/>
          <w:numId w:val="12"/>
        </w:numPr>
        <w:rPr>
          <w:sz w:val="24"/>
        </w:rPr>
      </w:pPr>
      <w:r w:rsidRPr="690D41A3">
        <w:rPr>
          <w:rStyle w:val="BoldPurple"/>
          <w:sz w:val="24"/>
        </w:rPr>
        <w:t>4 editions</w:t>
      </w:r>
      <w:r w:rsidRPr="690D41A3">
        <w:rPr>
          <w:sz w:val="24"/>
        </w:rPr>
        <w:t xml:space="preserve"> of Violence and Disability Quarterly (VDQ)</w:t>
      </w:r>
      <w:r w:rsidR="00F41C81" w:rsidRPr="690D41A3">
        <w:rPr>
          <w:sz w:val="24"/>
        </w:rPr>
        <w:t>.</w:t>
      </w:r>
    </w:p>
    <w:p w14:paraId="3B9618ED" w14:textId="1B2A8130" w:rsidR="00BD52E1" w:rsidRDefault="00BD52E1" w:rsidP="690D41A3">
      <w:pPr>
        <w:pStyle w:val="ListParagraph"/>
        <w:numPr>
          <w:ilvl w:val="0"/>
          <w:numId w:val="12"/>
        </w:numPr>
        <w:rPr>
          <w:sz w:val="24"/>
        </w:rPr>
      </w:pPr>
      <w:r w:rsidRPr="690D41A3">
        <w:rPr>
          <w:rStyle w:val="BoldPurple"/>
          <w:sz w:val="24"/>
        </w:rPr>
        <w:t xml:space="preserve">17K </w:t>
      </w:r>
      <w:r w:rsidRPr="690D41A3">
        <w:rPr>
          <w:sz w:val="24"/>
        </w:rPr>
        <w:t xml:space="preserve">per annum </w:t>
      </w:r>
      <w:r w:rsidRPr="690D41A3">
        <w:rPr>
          <w:rStyle w:val="BoldPurple"/>
          <w:sz w:val="24"/>
        </w:rPr>
        <w:t>website hits = 11% growth</w:t>
      </w:r>
      <w:r w:rsidRPr="690D41A3">
        <w:rPr>
          <w:sz w:val="24"/>
        </w:rPr>
        <w:t>, 10% growth in repeat users, 9% in new users</w:t>
      </w:r>
      <w:r w:rsidR="00F41C81" w:rsidRPr="690D41A3">
        <w:rPr>
          <w:sz w:val="24"/>
        </w:rPr>
        <w:t>.</w:t>
      </w:r>
    </w:p>
    <w:p w14:paraId="0E928D4A" w14:textId="48AAC68F" w:rsidR="00BD52E1" w:rsidRDefault="00BD52E1" w:rsidP="690D41A3">
      <w:pPr>
        <w:pStyle w:val="ListParagraph"/>
        <w:numPr>
          <w:ilvl w:val="0"/>
          <w:numId w:val="12"/>
        </w:numPr>
        <w:rPr>
          <w:sz w:val="24"/>
        </w:rPr>
      </w:pPr>
      <w:r w:rsidRPr="690D41A3">
        <w:rPr>
          <w:rStyle w:val="BoldPurple"/>
          <w:sz w:val="24"/>
        </w:rPr>
        <w:t>682 WDV members</w:t>
      </w:r>
      <w:r w:rsidRPr="690D41A3">
        <w:rPr>
          <w:sz w:val="24"/>
        </w:rPr>
        <w:t xml:space="preserve"> = 657 Full Members, 25 Associate Members</w:t>
      </w:r>
      <w:r w:rsidR="00F41C81" w:rsidRPr="690D41A3">
        <w:rPr>
          <w:sz w:val="24"/>
        </w:rPr>
        <w:t>.</w:t>
      </w:r>
    </w:p>
    <w:p w14:paraId="56AE7703" w14:textId="5A9037A9" w:rsidR="00BD52E1" w:rsidRDefault="008C1DF6" w:rsidP="690D41A3">
      <w:pPr>
        <w:pStyle w:val="ListParagraph"/>
        <w:numPr>
          <w:ilvl w:val="0"/>
          <w:numId w:val="12"/>
        </w:numPr>
        <w:rPr>
          <w:sz w:val="24"/>
        </w:rPr>
      </w:pPr>
      <w:r w:rsidRPr="690D41A3">
        <w:rPr>
          <w:sz w:val="24"/>
        </w:rPr>
        <w:t xml:space="preserve">Facebook: </w:t>
      </w:r>
      <w:r w:rsidRPr="690D41A3">
        <w:rPr>
          <w:rStyle w:val="BoldPurple"/>
          <w:sz w:val="24"/>
        </w:rPr>
        <w:t xml:space="preserve">4,148 followers = 36% </w:t>
      </w:r>
      <w:proofErr w:type="gramStart"/>
      <w:r w:rsidRPr="690D41A3">
        <w:rPr>
          <w:rStyle w:val="BoldPurple"/>
          <w:sz w:val="24"/>
        </w:rPr>
        <w:t>growth</w:t>
      </w:r>
      <w:proofErr w:type="gramEnd"/>
      <w:r w:rsidR="00F41C81" w:rsidRPr="690D41A3">
        <w:rPr>
          <w:rStyle w:val="BoldPurple"/>
          <w:sz w:val="24"/>
        </w:rPr>
        <w:t>.</w:t>
      </w:r>
    </w:p>
    <w:p w14:paraId="12DAB80D" w14:textId="69B434D2" w:rsidR="008C1DF6" w:rsidRDefault="0020344C" w:rsidP="690D41A3">
      <w:pPr>
        <w:pStyle w:val="ListParagraph"/>
        <w:numPr>
          <w:ilvl w:val="0"/>
          <w:numId w:val="12"/>
        </w:numPr>
        <w:rPr>
          <w:sz w:val="24"/>
        </w:rPr>
      </w:pPr>
      <w:r w:rsidRPr="690D41A3">
        <w:rPr>
          <w:sz w:val="24"/>
        </w:rPr>
        <w:t xml:space="preserve">Instagram: </w:t>
      </w:r>
      <w:r w:rsidRPr="690D41A3">
        <w:rPr>
          <w:rStyle w:val="BoldPurple"/>
          <w:sz w:val="24"/>
        </w:rPr>
        <w:t xml:space="preserve">421 followers = 36% </w:t>
      </w:r>
      <w:proofErr w:type="gramStart"/>
      <w:r w:rsidRPr="690D41A3">
        <w:rPr>
          <w:rStyle w:val="BoldPurple"/>
          <w:sz w:val="24"/>
        </w:rPr>
        <w:t>growth</w:t>
      </w:r>
      <w:proofErr w:type="gramEnd"/>
      <w:r w:rsidR="00F41C81" w:rsidRPr="690D41A3">
        <w:rPr>
          <w:rStyle w:val="BoldPurple"/>
          <w:sz w:val="24"/>
        </w:rPr>
        <w:t>.</w:t>
      </w:r>
    </w:p>
    <w:p w14:paraId="160FBFB7" w14:textId="415B41BE" w:rsidR="00492A93" w:rsidRPr="00977771" w:rsidRDefault="00492A93" w:rsidP="690D41A3">
      <w:pPr>
        <w:pStyle w:val="ListParagraph"/>
        <w:numPr>
          <w:ilvl w:val="0"/>
          <w:numId w:val="12"/>
        </w:numPr>
        <w:rPr>
          <w:rStyle w:val="BoldPurple"/>
          <w:sz w:val="24"/>
        </w:rPr>
      </w:pPr>
      <w:r w:rsidRPr="690D41A3">
        <w:rPr>
          <w:sz w:val="24"/>
        </w:rPr>
        <w:t xml:space="preserve">Twitter: </w:t>
      </w:r>
      <w:r w:rsidRPr="690D41A3">
        <w:rPr>
          <w:rStyle w:val="BoldPurple"/>
          <w:sz w:val="24"/>
        </w:rPr>
        <w:t xml:space="preserve">1,920 followers = 4% </w:t>
      </w:r>
      <w:proofErr w:type="gramStart"/>
      <w:r w:rsidRPr="690D41A3">
        <w:rPr>
          <w:rStyle w:val="BoldPurple"/>
          <w:sz w:val="24"/>
        </w:rPr>
        <w:t>growth</w:t>
      </w:r>
      <w:proofErr w:type="gramEnd"/>
      <w:r w:rsidR="00F41C81" w:rsidRPr="690D41A3">
        <w:rPr>
          <w:rStyle w:val="BoldPurple"/>
          <w:sz w:val="24"/>
        </w:rPr>
        <w:t>.</w:t>
      </w:r>
    </w:p>
    <w:p w14:paraId="29E2DD7A" w14:textId="64F5ED9D" w:rsidR="00492A93" w:rsidRDefault="0049031B" w:rsidP="690D41A3">
      <w:pPr>
        <w:pStyle w:val="ListParagraph"/>
        <w:numPr>
          <w:ilvl w:val="0"/>
          <w:numId w:val="12"/>
        </w:numPr>
        <w:rPr>
          <w:sz w:val="24"/>
        </w:rPr>
      </w:pPr>
      <w:r w:rsidRPr="690D41A3">
        <w:rPr>
          <w:sz w:val="24"/>
        </w:rPr>
        <w:t xml:space="preserve">LinkedIn: </w:t>
      </w:r>
      <w:r w:rsidRPr="690D41A3">
        <w:rPr>
          <w:rStyle w:val="BoldPurple"/>
          <w:sz w:val="24"/>
        </w:rPr>
        <w:t xml:space="preserve">488 followers = 23% </w:t>
      </w:r>
      <w:proofErr w:type="gramStart"/>
      <w:r w:rsidRPr="690D41A3">
        <w:rPr>
          <w:rStyle w:val="BoldPurple"/>
          <w:sz w:val="24"/>
        </w:rPr>
        <w:t>growth</w:t>
      </w:r>
      <w:proofErr w:type="gramEnd"/>
      <w:r w:rsidR="00F41C81" w:rsidRPr="690D41A3">
        <w:rPr>
          <w:rStyle w:val="BoldPurple"/>
          <w:sz w:val="24"/>
        </w:rPr>
        <w:t>.</w:t>
      </w:r>
    </w:p>
    <w:p w14:paraId="2C355EED" w14:textId="16877734" w:rsidR="0049031B" w:rsidRDefault="0049031B" w:rsidP="0049031B"/>
    <w:p w14:paraId="65F4B5D8" w14:textId="66BA0413" w:rsidR="0049031B" w:rsidRDefault="0049031B" w:rsidP="0049031B"/>
    <w:p w14:paraId="5A98E0A0" w14:textId="77777777" w:rsidR="003D46F2" w:rsidRDefault="003D46F2" w:rsidP="003D46F2">
      <w:pPr>
        <w:pStyle w:val="Heading3"/>
      </w:pPr>
      <w:r>
        <w:t>Community Inclusion and Women’s Empowerment</w:t>
      </w:r>
    </w:p>
    <w:p w14:paraId="35EE4EA4" w14:textId="77777777" w:rsidR="003D46F2" w:rsidRPr="003D46F2" w:rsidRDefault="003D46F2" w:rsidP="690D41A3">
      <w:pPr>
        <w:rPr>
          <w:rStyle w:val="Strong"/>
          <w:sz w:val="24"/>
          <w:szCs w:val="24"/>
        </w:rPr>
      </w:pPr>
      <w:r w:rsidRPr="690D41A3">
        <w:rPr>
          <w:rStyle w:val="Strong"/>
          <w:sz w:val="24"/>
          <w:szCs w:val="24"/>
        </w:rPr>
        <w:t>Retain and increase connection with women in regional Victoria through our Leadership Hubs:</w:t>
      </w:r>
    </w:p>
    <w:p w14:paraId="124BAE5E" w14:textId="77777777" w:rsidR="003D46F2" w:rsidRDefault="003D46F2" w:rsidP="003D46F2">
      <w:pPr>
        <w:pStyle w:val="ListBullet"/>
        <w:rPr>
          <w:sz w:val="24"/>
        </w:rPr>
      </w:pPr>
      <w:r w:rsidRPr="690D41A3">
        <w:rPr>
          <w:sz w:val="24"/>
        </w:rPr>
        <w:t>41 Hub meetings.</w:t>
      </w:r>
    </w:p>
    <w:p w14:paraId="7C6CF5E1" w14:textId="77777777" w:rsidR="003D46F2" w:rsidRDefault="003D46F2" w:rsidP="003D46F2">
      <w:pPr>
        <w:pStyle w:val="ListBullet"/>
        <w:rPr>
          <w:sz w:val="24"/>
        </w:rPr>
      </w:pPr>
      <w:r w:rsidRPr="690D41A3">
        <w:rPr>
          <w:sz w:val="24"/>
        </w:rPr>
        <w:t>Development of consistent practices across Hubs, including COVID normal practice guidance.</w:t>
      </w:r>
    </w:p>
    <w:p w14:paraId="7B21BF9B" w14:textId="77777777" w:rsidR="003D46F2" w:rsidRDefault="003D46F2" w:rsidP="003D46F2">
      <w:pPr>
        <w:pStyle w:val="ListBullet"/>
        <w:rPr>
          <w:sz w:val="24"/>
        </w:rPr>
      </w:pPr>
      <w:r w:rsidRPr="690D41A3">
        <w:rPr>
          <w:sz w:val="24"/>
        </w:rPr>
        <w:t>1 new Hub (Melbourne Outer East).</w:t>
      </w:r>
    </w:p>
    <w:p w14:paraId="70227F70" w14:textId="0ECBC9D8" w:rsidR="003D46F2" w:rsidRDefault="003D46F2" w:rsidP="00F41C81">
      <w:pPr>
        <w:pStyle w:val="ListBullet"/>
        <w:rPr>
          <w:sz w:val="24"/>
        </w:rPr>
      </w:pPr>
      <w:r w:rsidRPr="690D41A3">
        <w:rPr>
          <w:sz w:val="24"/>
        </w:rPr>
        <w:t>3 training opportunities for</w:t>
      </w:r>
      <w:r w:rsidR="00F41C81" w:rsidRPr="690D41A3">
        <w:rPr>
          <w:sz w:val="24"/>
        </w:rPr>
        <w:t xml:space="preserve"> </w:t>
      </w:r>
      <w:r w:rsidRPr="690D41A3">
        <w:rPr>
          <w:sz w:val="24"/>
        </w:rPr>
        <w:t xml:space="preserve">Hub Liaison Officers (HLOs). </w:t>
      </w:r>
    </w:p>
    <w:p w14:paraId="767FE239" w14:textId="17BEE62A" w:rsidR="003D46F2" w:rsidRDefault="003D46F2" w:rsidP="003D46F2">
      <w:pPr>
        <w:pStyle w:val="ListBullet"/>
        <w:rPr>
          <w:sz w:val="24"/>
        </w:rPr>
      </w:pPr>
      <w:r w:rsidRPr="690D41A3">
        <w:rPr>
          <w:sz w:val="24"/>
        </w:rPr>
        <w:t>Provided two engagement opportunities across all Hubs.</w:t>
      </w:r>
    </w:p>
    <w:p w14:paraId="11908BFD" w14:textId="77777777" w:rsidR="003D46F2" w:rsidRDefault="003D46F2" w:rsidP="690D41A3">
      <w:pPr>
        <w:rPr>
          <w:sz w:val="24"/>
          <w:szCs w:val="24"/>
        </w:rPr>
      </w:pPr>
    </w:p>
    <w:p w14:paraId="23168C56" w14:textId="77777777" w:rsidR="003D46F2" w:rsidRPr="003D46F2" w:rsidRDefault="003D46F2" w:rsidP="690D41A3">
      <w:pPr>
        <w:rPr>
          <w:rStyle w:val="Strong"/>
          <w:sz w:val="24"/>
          <w:szCs w:val="24"/>
        </w:rPr>
      </w:pPr>
      <w:r w:rsidRPr="690D41A3">
        <w:rPr>
          <w:rStyle w:val="Strong"/>
          <w:sz w:val="24"/>
          <w:szCs w:val="24"/>
        </w:rPr>
        <w:t xml:space="preserve">Develop the skills of individual women with disabilities to lead and </w:t>
      </w:r>
      <w:proofErr w:type="spellStart"/>
      <w:r w:rsidRPr="690D41A3">
        <w:rPr>
          <w:rStyle w:val="Strong"/>
          <w:sz w:val="24"/>
          <w:szCs w:val="24"/>
        </w:rPr>
        <w:t>self advocate</w:t>
      </w:r>
      <w:proofErr w:type="spellEnd"/>
      <w:r w:rsidRPr="690D41A3">
        <w:rPr>
          <w:rStyle w:val="Strong"/>
          <w:sz w:val="24"/>
          <w:szCs w:val="24"/>
        </w:rPr>
        <w:t>:</w:t>
      </w:r>
    </w:p>
    <w:p w14:paraId="33127AD0" w14:textId="4F409C91" w:rsidR="003D46F2" w:rsidRDefault="003D46F2" w:rsidP="003D46F2">
      <w:pPr>
        <w:pStyle w:val="ListBullet"/>
        <w:rPr>
          <w:sz w:val="24"/>
        </w:rPr>
      </w:pPr>
      <w:r w:rsidRPr="690D41A3">
        <w:rPr>
          <w:sz w:val="24"/>
        </w:rPr>
        <w:t>17 ‘</w:t>
      </w:r>
      <w:hyperlink r:id="rId22">
        <w:r w:rsidRPr="690D41A3">
          <w:rPr>
            <w:rStyle w:val="Hyperlink"/>
            <w:sz w:val="24"/>
          </w:rPr>
          <w:t>Enabling Women’</w:t>
        </w:r>
      </w:hyperlink>
      <w:r w:rsidRPr="690D41A3">
        <w:rPr>
          <w:sz w:val="24"/>
        </w:rPr>
        <w:t xml:space="preserve"> sessions for young women. </w:t>
      </w:r>
    </w:p>
    <w:p w14:paraId="66FE408C" w14:textId="71571B42" w:rsidR="003D46F2" w:rsidRDefault="003D46F2" w:rsidP="003D46F2">
      <w:pPr>
        <w:pStyle w:val="ListBullet"/>
        <w:rPr>
          <w:sz w:val="24"/>
        </w:rPr>
      </w:pPr>
      <w:r w:rsidRPr="690D41A3">
        <w:rPr>
          <w:sz w:val="24"/>
        </w:rPr>
        <w:t>Developed a survey and steering group to guide enabling young women program.</w:t>
      </w:r>
    </w:p>
    <w:p w14:paraId="35BDB594" w14:textId="77777777" w:rsidR="003D46F2" w:rsidRDefault="003D46F2" w:rsidP="003D46F2"/>
    <w:p w14:paraId="42FF2389" w14:textId="77777777" w:rsidR="003D46F2" w:rsidRPr="003D46F2" w:rsidRDefault="003D46F2" w:rsidP="690D41A3">
      <w:pPr>
        <w:rPr>
          <w:rStyle w:val="Strong"/>
          <w:sz w:val="24"/>
          <w:szCs w:val="24"/>
        </w:rPr>
      </w:pPr>
      <w:r w:rsidRPr="690D41A3">
        <w:rPr>
          <w:rStyle w:val="Strong"/>
          <w:sz w:val="24"/>
          <w:szCs w:val="24"/>
        </w:rPr>
        <w:t>Provide other opportunities for member capacity building:</w:t>
      </w:r>
    </w:p>
    <w:p w14:paraId="51030F18" w14:textId="6B2E98FC" w:rsidR="003D46F2" w:rsidRDefault="003D46F2" w:rsidP="003D46F2">
      <w:pPr>
        <w:pStyle w:val="ListBullet"/>
        <w:rPr>
          <w:sz w:val="24"/>
        </w:rPr>
      </w:pPr>
      <w:r w:rsidRPr="690D41A3">
        <w:rPr>
          <w:sz w:val="24"/>
        </w:rPr>
        <w:t>2 ‘</w:t>
      </w:r>
      <w:hyperlink r:id="rId23">
        <w:r w:rsidRPr="690D41A3">
          <w:rPr>
            <w:rStyle w:val="Hyperlink"/>
            <w:sz w:val="24"/>
          </w:rPr>
          <w:t>Our Right to Safety and Respect’</w:t>
        </w:r>
      </w:hyperlink>
      <w:r w:rsidRPr="690D41A3">
        <w:rPr>
          <w:sz w:val="24"/>
        </w:rPr>
        <w:t xml:space="preserve"> sessions for women with disabilities.</w:t>
      </w:r>
    </w:p>
    <w:p w14:paraId="7D66DAC4" w14:textId="77777777" w:rsidR="003D46F2" w:rsidRDefault="003D46F2" w:rsidP="003D46F2">
      <w:pPr>
        <w:pStyle w:val="ListBullet"/>
        <w:rPr>
          <w:sz w:val="24"/>
        </w:rPr>
      </w:pPr>
      <w:r w:rsidRPr="690D41A3">
        <w:rPr>
          <w:sz w:val="24"/>
        </w:rPr>
        <w:t>Final report and evaluation of Spotlight Project.</w:t>
      </w:r>
    </w:p>
    <w:p w14:paraId="6DE3833E" w14:textId="77777777" w:rsidR="003D46F2" w:rsidRDefault="003D46F2" w:rsidP="003D46F2">
      <w:pPr>
        <w:pStyle w:val="ListBullet"/>
        <w:rPr>
          <w:sz w:val="24"/>
        </w:rPr>
      </w:pPr>
      <w:r w:rsidRPr="690D41A3">
        <w:rPr>
          <w:sz w:val="24"/>
        </w:rPr>
        <w:t>Final report and evaluation of Our Right to Safety and Respect Project.</w:t>
      </w:r>
    </w:p>
    <w:p w14:paraId="093B4577" w14:textId="2C1F43F2" w:rsidR="003D46F2" w:rsidRDefault="003D46F2" w:rsidP="003D46F2">
      <w:pPr>
        <w:pStyle w:val="ListBullet"/>
        <w:rPr>
          <w:sz w:val="24"/>
        </w:rPr>
      </w:pPr>
      <w:r w:rsidRPr="690D41A3">
        <w:rPr>
          <w:sz w:val="24"/>
        </w:rPr>
        <w:t>Contributed to WIRE intersectional financial literacy project.</w:t>
      </w:r>
    </w:p>
    <w:p w14:paraId="467E6FBC" w14:textId="7B914A72" w:rsidR="00977771" w:rsidRDefault="00977771" w:rsidP="00977771"/>
    <w:p w14:paraId="275DA805" w14:textId="29B9378F" w:rsidR="0022117E" w:rsidRDefault="0022117E" w:rsidP="00150A9B">
      <w:pPr>
        <w:pStyle w:val="Heading1"/>
      </w:pPr>
      <w:r>
        <w:br w:type="page"/>
      </w:r>
      <w:r>
        <w:lastRenderedPageBreak/>
        <w:t xml:space="preserve">Goal 2: Pursue safety, </w:t>
      </w:r>
      <w:proofErr w:type="gramStart"/>
      <w:r>
        <w:t>wellbeing</w:t>
      </w:r>
      <w:proofErr w:type="gramEnd"/>
      <w:r>
        <w:t xml:space="preserve"> and connectedness for women with disabilities</w:t>
      </w:r>
    </w:p>
    <w:p w14:paraId="23430B92" w14:textId="5604E23E" w:rsidR="00977771" w:rsidRDefault="0022117E" w:rsidP="0022117E">
      <w:pPr>
        <w:pStyle w:val="Highlight-Pink"/>
      </w:pPr>
      <w:r>
        <w:t>Leverage government funded policy reform and programs</w:t>
      </w:r>
    </w:p>
    <w:p w14:paraId="6249FF9B" w14:textId="77777777" w:rsidR="00956CA8" w:rsidRDefault="00956CA8" w:rsidP="0022117E">
      <w:pPr>
        <w:sectPr w:rsidR="00956CA8" w:rsidSect="004A4B00">
          <w:pgSz w:w="11906" w:h="16838" w:code="9"/>
          <w:pgMar w:top="992" w:right="851" w:bottom="992" w:left="851" w:header="567" w:footer="567" w:gutter="0"/>
          <w:cols w:space="284"/>
          <w:docGrid w:linePitch="360"/>
        </w:sectPr>
      </w:pPr>
    </w:p>
    <w:p w14:paraId="3FEF82E2" w14:textId="77777777" w:rsidR="002B027F" w:rsidRDefault="002B027F" w:rsidP="00B73006">
      <w:pPr>
        <w:pStyle w:val="NoSpacing"/>
      </w:pPr>
    </w:p>
    <w:p w14:paraId="6AF1D69F" w14:textId="73D7FC1B" w:rsidR="002B027F" w:rsidRDefault="002B027F" w:rsidP="690D41A3">
      <w:pPr>
        <w:spacing w:after="40"/>
        <w:rPr>
          <w:sz w:val="24"/>
          <w:szCs w:val="24"/>
        </w:rPr>
      </w:pPr>
      <w:r w:rsidRPr="690D41A3">
        <w:rPr>
          <w:sz w:val="24"/>
          <w:szCs w:val="24"/>
        </w:rPr>
        <w:t>Priorities include prevention and response to family violence, gender equality reform and social/economic inclusion of women with disabilities via the NDIS system and State and National Disability Plans.</w:t>
      </w:r>
    </w:p>
    <w:p w14:paraId="5AC37C15" w14:textId="77777777" w:rsidR="002B027F" w:rsidRDefault="002B027F" w:rsidP="690D41A3">
      <w:pPr>
        <w:spacing w:after="40"/>
        <w:rPr>
          <w:sz w:val="24"/>
          <w:szCs w:val="24"/>
        </w:rPr>
      </w:pPr>
      <w:r w:rsidRPr="690D41A3">
        <w:rPr>
          <w:sz w:val="24"/>
          <w:szCs w:val="24"/>
        </w:rPr>
        <w:t>During 2021–24 WDV will pursue and develop opportunities for enhancing access to primary health/sexual and reproductive health services for women with disabilities. WDV engaged in relevant opportunities that arose from the Royal Commission on Mental Health and government investment in public health, emergency preparedness and enabling inclusive economic participation.</w:t>
      </w:r>
    </w:p>
    <w:p w14:paraId="187C283E" w14:textId="3355E3C8" w:rsidR="002B027F" w:rsidRDefault="002B027F" w:rsidP="690D41A3">
      <w:pPr>
        <w:spacing w:after="40"/>
        <w:rPr>
          <w:sz w:val="24"/>
          <w:szCs w:val="24"/>
        </w:rPr>
      </w:pPr>
      <w:r w:rsidRPr="690D41A3">
        <w:rPr>
          <w:sz w:val="24"/>
          <w:szCs w:val="24"/>
        </w:rPr>
        <w:t xml:space="preserve">This year WDV continued to provide employment opportunities through two recruitment drives for women with disabilities to provide their expertise and lived experience on access and inclusion, safety, </w:t>
      </w:r>
      <w:proofErr w:type="gramStart"/>
      <w:r w:rsidRPr="690D41A3">
        <w:rPr>
          <w:sz w:val="24"/>
          <w:szCs w:val="24"/>
        </w:rPr>
        <w:t>wellbeing</w:t>
      </w:r>
      <w:proofErr w:type="gramEnd"/>
      <w:r w:rsidRPr="690D41A3">
        <w:rPr>
          <w:sz w:val="24"/>
          <w:szCs w:val="24"/>
        </w:rPr>
        <w:t xml:space="preserve"> and connections. The </w:t>
      </w:r>
      <w:hyperlink r:id="rId24">
        <w:r w:rsidRPr="690D41A3">
          <w:rPr>
            <w:rStyle w:val="Hyperlink"/>
            <w:sz w:val="24"/>
            <w:szCs w:val="24"/>
          </w:rPr>
          <w:t>Experts by Experience Prevention and Health</w:t>
        </w:r>
      </w:hyperlink>
      <w:r w:rsidRPr="690D41A3">
        <w:rPr>
          <w:sz w:val="24"/>
          <w:szCs w:val="24"/>
        </w:rPr>
        <w:t xml:space="preserve"> workforce teams educated professionals and industry sectors on the value of service co-design and inclusive work practices. WDV resourced both </w:t>
      </w:r>
      <w:proofErr w:type="gramStart"/>
      <w:r w:rsidRPr="690D41A3">
        <w:rPr>
          <w:sz w:val="24"/>
          <w:szCs w:val="24"/>
        </w:rPr>
        <w:t>experts</w:t>
      </w:r>
      <w:proofErr w:type="gramEnd"/>
      <w:r w:rsidRPr="690D41A3">
        <w:rPr>
          <w:sz w:val="24"/>
          <w:szCs w:val="24"/>
        </w:rPr>
        <w:t xml:space="preserve"> groups using a person-centred approached with support materials, resources and training sessions. Working collaboratively to ensure that training and initiatives include the experiences of women with disabilities.</w:t>
      </w:r>
    </w:p>
    <w:p w14:paraId="14683E5E" w14:textId="4CC14364" w:rsidR="0022117E" w:rsidRDefault="002B027F" w:rsidP="690D41A3">
      <w:pPr>
        <w:spacing w:after="40"/>
        <w:rPr>
          <w:sz w:val="24"/>
          <w:szCs w:val="24"/>
        </w:rPr>
      </w:pPr>
      <w:r w:rsidRPr="690D41A3">
        <w:rPr>
          <w:sz w:val="24"/>
          <w:szCs w:val="24"/>
        </w:rPr>
        <w:t xml:space="preserve">This year also saw increased demand of WDV resources and training and an increase in the number of collaborations and partnerships. WDV published content on gender equity reforms, workforce capacity building, as well as an </w:t>
      </w:r>
      <w:hyperlink r:id="rId25">
        <w:r w:rsidRPr="690D41A3">
          <w:rPr>
            <w:rStyle w:val="Hyperlink"/>
            <w:sz w:val="24"/>
            <w:szCs w:val="24"/>
          </w:rPr>
          <w:t>auditing tool kit</w:t>
        </w:r>
      </w:hyperlink>
      <w:r w:rsidRPr="690D41A3">
        <w:rPr>
          <w:sz w:val="24"/>
          <w:szCs w:val="24"/>
        </w:rPr>
        <w:t xml:space="preserve"> for services to build more inclusive violence prevention practices and activities on the prevention of violence against women with disabilities.  </w:t>
      </w:r>
    </w:p>
    <w:p w14:paraId="45031826" w14:textId="113F92DE" w:rsidR="004B3917" w:rsidRDefault="004B3917" w:rsidP="00B73006">
      <w:pPr>
        <w:pStyle w:val="NoSpacing"/>
      </w:pPr>
      <w:r>
        <w:br w:type="column"/>
      </w:r>
    </w:p>
    <w:p w14:paraId="092A97FD" w14:textId="578DB19F" w:rsidR="004B3917" w:rsidRDefault="00A1232B" w:rsidP="00142FDD">
      <w:pPr>
        <w:pStyle w:val="Heading3"/>
        <w:pBdr>
          <w:top w:val="single" w:sz="4" w:space="1" w:color="A9218E" w:themeColor="accent2"/>
          <w:left w:val="single" w:sz="4" w:space="4" w:color="A9218E" w:themeColor="accent2"/>
          <w:bottom w:val="single" w:sz="4" w:space="1" w:color="A9218E" w:themeColor="accent2"/>
          <w:right w:val="single" w:sz="4" w:space="4" w:color="A9218E" w:themeColor="accent2"/>
        </w:pBdr>
      </w:pPr>
      <w:r>
        <w:rPr>
          <w:noProof/>
          <w:lang w:val="en-AU" w:eastAsia="en-AU"/>
        </w:rPr>
        <w:drawing>
          <wp:inline distT="0" distB="0" distL="0" distR="0" wp14:anchorId="23C257A8" wp14:editId="3C083E12">
            <wp:extent cx="824106" cy="825500"/>
            <wp:effectExtent l="0" t="0" r="0" b="0"/>
            <wp:docPr id="23" name="Picture 23" descr="Photo of Liel Bridgford. Liel is a white person with straight, shoulder length brown hair, wearing glasses and smiling at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Photo of Liel Bridgford. Liel is a white person with straight, shoulder length brown hair, wearing glasses and smiling at the camera."/>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25670" cy="827067"/>
                    </a:xfrm>
                    <a:prstGeom prst="rect">
                      <a:avLst/>
                    </a:prstGeom>
                  </pic:spPr>
                </pic:pic>
              </a:graphicData>
            </a:graphic>
          </wp:inline>
        </w:drawing>
      </w:r>
      <w:r>
        <w:t xml:space="preserve"> </w:t>
      </w:r>
      <w:r w:rsidR="004B3917">
        <w:t>Experts by Experience</w:t>
      </w:r>
    </w:p>
    <w:p w14:paraId="421569B3" w14:textId="77777777" w:rsidR="004B3917" w:rsidRDefault="004B3917" w:rsidP="00A1232B">
      <w:pPr>
        <w:pBdr>
          <w:top w:val="single" w:sz="4" w:space="1" w:color="A9218E" w:themeColor="accent2"/>
          <w:left w:val="single" w:sz="4" w:space="4" w:color="A9218E" w:themeColor="accent2"/>
          <w:bottom w:val="single" w:sz="4" w:space="1" w:color="A9218E" w:themeColor="accent2"/>
          <w:right w:val="single" w:sz="4" w:space="4" w:color="A9218E" w:themeColor="accent2"/>
        </w:pBdr>
        <w:spacing w:after="40"/>
      </w:pPr>
      <w:r>
        <w:t xml:space="preserve">by </w:t>
      </w:r>
      <w:proofErr w:type="spellStart"/>
      <w:r>
        <w:t>Liel</w:t>
      </w:r>
      <w:proofErr w:type="spellEnd"/>
      <w:r>
        <w:t xml:space="preserve"> Bridgford</w:t>
      </w:r>
    </w:p>
    <w:p w14:paraId="4A84D8FC" w14:textId="77777777" w:rsidR="004B3917" w:rsidRDefault="004B3917" w:rsidP="690D41A3">
      <w:pPr>
        <w:pBdr>
          <w:top w:val="single" w:sz="4" w:space="1" w:color="A9218E" w:themeColor="accent2"/>
          <w:left w:val="single" w:sz="4" w:space="4" w:color="A9218E" w:themeColor="accent2"/>
          <w:bottom w:val="single" w:sz="4" w:space="1" w:color="A9218E" w:themeColor="accent2"/>
          <w:right w:val="single" w:sz="4" w:space="4" w:color="A9218E" w:themeColor="accent2"/>
        </w:pBdr>
        <w:spacing w:after="40"/>
        <w:rPr>
          <w:sz w:val="24"/>
          <w:szCs w:val="24"/>
        </w:rPr>
      </w:pPr>
      <w:r w:rsidRPr="690D41A3">
        <w:rPr>
          <w:sz w:val="24"/>
          <w:szCs w:val="24"/>
        </w:rPr>
        <w:t xml:space="preserve">“I joined the Experts by Experience Health group in March 2021. The group of diverse, </w:t>
      </w:r>
      <w:proofErr w:type="gramStart"/>
      <w:r w:rsidRPr="690D41A3">
        <w:rPr>
          <w:sz w:val="24"/>
          <w:szCs w:val="24"/>
        </w:rPr>
        <w:t>skilled</w:t>
      </w:r>
      <w:proofErr w:type="gramEnd"/>
      <w:r w:rsidRPr="690D41A3">
        <w:rPr>
          <w:sz w:val="24"/>
          <w:szCs w:val="24"/>
        </w:rPr>
        <w:t xml:space="preserve"> and passionate women with disabilities focused on increasing access and safety for women with disabilities to health services, supports, information and facilities.</w:t>
      </w:r>
    </w:p>
    <w:p w14:paraId="65851708" w14:textId="77777777" w:rsidR="004B3917" w:rsidRPr="00A1232B" w:rsidRDefault="004B3917" w:rsidP="690D41A3">
      <w:pPr>
        <w:pBdr>
          <w:top w:val="single" w:sz="4" w:space="1" w:color="A9218E" w:themeColor="accent2"/>
          <w:left w:val="single" w:sz="4" w:space="4" w:color="A9218E" w:themeColor="accent2"/>
          <w:bottom w:val="single" w:sz="4" w:space="1" w:color="A9218E" w:themeColor="accent2"/>
          <w:right w:val="single" w:sz="4" w:space="4" w:color="A9218E" w:themeColor="accent2"/>
        </w:pBdr>
        <w:spacing w:after="40"/>
        <w:rPr>
          <w:spacing w:val="-5"/>
          <w:sz w:val="24"/>
          <w:szCs w:val="24"/>
        </w:rPr>
      </w:pPr>
      <w:r w:rsidRPr="690D41A3">
        <w:rPr>
          <w:spacing w:val="-5"/>
          <w:sz w:val="24"/>
          <w:szCs w:val="24"/>
        </w:rPr>
        <w:t xml:space="preserve">I have been incredibly privileged to contribute, together with all other Experts, to the co-design process of developing resources and training material for women with disabilities about accessing and navigating healthcare systems. Raising issues many of us face in accessing safe, </w:t>
      </w:r>
      <w:proofErr w:type="gramStart"/>
      <w:r w:rsidRPr="690D41A3">
        <w:rPr>
          <w:spacing w:val="-5"/>
          <w:sz w:val="24"/>
          <w:szCs w:val="24"/>
        </w:rPr>
        <w:t>welcoming</w:t>
      </w:r>
      <w:proofErr w:type="gramEnd"/>
      <w:r w:rsidRPr="690D41A3">
        <w:rPr>
          <w:spacing w:val="-5"/>
          <w:sz w:val="24"/>
          <w:szCs w:val="24"/>
        </w:rPr>
        <w:t xml:space="preserve"> and equal healthcare was not only cathartic but life-changing for me. We came up with simple yet powerful strategies and principles to improve the way healthcare systems work. </w:t>
      </w:r>
    </w:p>
    <w:p w14:paraId="3DD185CB" w14:textId="77777777" w:rsidR="004B3917" w:rsidRPr="00A1232B" w:rsidRDefault="004B3917" w:rsidP="690D41A3">
      <w:pPr>
        <w:pBdr>
          <w:top w:val="single" w:sz="4" w:space="1" w:color="A9218E" w:themeColor="accent2"/>
          <w:left w:val="single" w:sz="4" w:space="4" w:color="A9218E" w:themeColor="accent2"/>
          <w:bottom w:val="single" w:sz="4" w:space="1" w:color="A9218E" w:themeColor="accent2"/>
          <w:right w:val="single" w:sz="4" w:space="4" w:color="A9218E" w:themeColor="accent2"/>
        </w:pBdr>
        <w:spacing w:after="40"/>
        <w:rPr>
          <w:spacing w:val="-5"/>
          <w:sz w:val="24"/>
          <w:szCs w:val="24"/>
        </w:rPr>
      </w:pPr>
      <w:r w:rsidRPr="690D41A3">
        <w:rPr>
          <w:spacing w:val="-5"/>
          <w:sz w:val="24"/>
          <w:szCs w:val="24"/>
        </w:rPr>
        <w:t xml:space="preserve">We have also participated in several professional development sessions, focusing on topics such as advocacy, </w:t>
      </w:r>
      <w:proofErr w:type="gramStart"/>
      <w:r w:rsidRPr="690D41A3">
        <w:rPr>
          <w:spacing w:val="-5"/>
          <w:sz w:val="24"/>
          <w:szCs w:val="24"/>
        </w:rPr>
        <w:t>leadership</w:t>
      </w:r>
      <w:proofErr w:type="gramEnd"/>
      <w:r w:rsidRPr="690D41A3">
        <w:rPr>
          <w:spacing w:val="-5"/>
          <w:sz w:val="24"/>
          <w:szCs w:val="24"/>
        </w:rPr>
        <w:t xml:space="preserve"> and human rights. These sessions have strengthened my confidence in advocating for myself and other women with disabilities, leaving me feeling empowered and motivated to continue the work. In June 2021, I stepped up to support the team further with the creation of resources for healthcare professionals. These resources are aimed at improving access, </w:t>
      </w:r>
      <w:proofErr w:type="gramStart"/>
      <w:r w:rsidRPr="690D41A3">
        <w:rPr>
          <w:spacing w:val="-5"/>
          <w:sz w:val="24"/>
          <w:szCs w:val="24"/>
        </w:rPr>
        <w:t>safety</w:t>
      </w:r>
      <w:proofErr w:type="gramEnd"/>
      <w:r w:rsidRPr="690D41A3">
        <w:rPr>
          <w:spacing w:val="-5"/>
          <w:sz w:val="24"/>
          <w:szCs w:val="24"/>
        </w:rPr>
        <w:t xml:space="preserve"> and equal participation of women with disabilities in healthcare. They were designed to be accessed by anyone who works in the health systems and provide tangible ways people can improve healthcare experiences for women with disabilities.</w:t>
      </w:r>
    </w:p>
    <w:p w14:paraId="2A068833" w14:textId="77777777" w:rsidR="004B3917" w:rsidRDefault="004B3917" w:rsidP="690D41A3">
      <w:pPr>
        <w:pBdr>
          <w:top w:val="single" w:sz="4" w:space="1" w:color="A9218E" w:themeColor="accent2"/>
          <w:left w:val="single" w:sz="4" w:space="4" w:color="A9218E" w:themeColor="accent2"/>
          <w:bottom w:val="single" w:sz="4" w:space="1" w:color="A9218E" w:themeColor="accent2"/>
          <w:right w:val="single" w:sz="4" w:space="4" w:color="A9218E" w:themeColor="accent2"/>
        </w:pBdr>
        <w:spacing w:after="40"/>
        <w:rPr>
          <w:sz w:val="24"/>
          <w:szCs w:val="24"/>
        </w:rPr>
      </w:pPr>
      <w:r w:rsidRPr="690D41A3">
        <w:rPr>
          <w:sz w:val="24"/>
          <w:szCs w:val="24"/>
        </w:rPr>
        <w:t xml:space="preserve">As someone who has worked in the health system for nearly a decade, I was thrilled to have the opportunity to raise critical issues for health professionals, as well as develop easy-to-follow steps they can take. </w:t>
      </w:r>
    </w:p>
    <w:p w14:paraId="57A3E2FE" w14:textId="77777777" w:rsidR="004B3917" w:rsidRDefault="004B3917" w:rsidP="690D41A3">
      <w:pPr>
        <w:pBdr>
          <w:top w:val="single" w:sz="4" w:space="1" w:color="A9218E" w:themeColor="accent2"/>
          <w:left w:val="single" w:sz="4" w:space="4" w:color="A9218E" w:themeColor="accent2"/>
          <w:bottom w:val="single" w:sz="4" w:space="1" w:color="A9218E" w:themeColor="accent2"/>
          <w:right w:val="single" w:sz="4" w:space="4" w:color="A9218E" w:themeColor="accent2"/>
        </w:pBdr>
        <w:spacing w:after="40"/>
        <w:rPr>
          <w:sz w:val="24"/>
          <w:szCs w:val="24"/>
        </w:rPr>
      </w:pPr>
      <w:proofErr w:type="gramStart"/>
      <w:r w:rsidRPr="690D41A3">
        <w:rPr>
          <w:sz w:val="24"/>
          <w:szCs w:val="24"/>
        </w:rPr>
        <w:t>All of</w:t>
      </w:r>
      <w:proofErr w:type="gramEnd"/>
      <w:r w:rsidRPr="690D41A3">
        <w:rPr>
          <w:sz w:val="24"/>
          <w:szCs w:val="24"/>
        </w:rPr>
        <w:t xml:space="preserve"> this work has strengthened my belief in the power of the voices of women with disabilities. As a disabled, immigrant person, I am confident that this work can meaningfully improve our experiences in accessing healthcare.</w:t>
      </w:r>
    </w:p>
    <w:p w14:paraId="4EF1F8AF" w14:textId="14B5DF88" w:rsidR="004B3917" w:rsidRDefault="004B3917" w:rsidP="690D41A3">
      <w:pPr>
        <w:pBdr>
          <w:top w:val="single" w:sz="4" w:space="1" w:color="A9218E" w:themeColor="accent2"/>
          <w:left w:val="single" w:sz="4" w:space="4" w:color="A9218E" w:themeColor="accent2"/>
          <w:bottom w:val="single" w:sz="4" w:space="1" w:color="A9218E" w:themeColor="accent2"/>
          <w:right w:val="single" w:sz="4" w:space="4" w:color="A9218E" w:themeColor="accent2"/>
        </w:pBdr>
        <w:spacing w:after="40"/>
        <w:rPr>
          <w:sz w:val="24"/>
          <w:szCs w:val="24"/>
        </w:rPr>
      </w:pPr>
      <w:r w:rsidRPr="690D41A3">
        <w:rPr>
          <w:sz w:val="24"/>
          <w:szCs w:val="24"/>
        </w:rPr>
        <w:t>I hope our voices will continue to be listened to and amplified, so that we can create a society in which women with disabilities have similar health outcomes to non-disabled women.”</w:t>
      </w:r>
    </w:p>
    <w:p w14:paraId="337EE483" w14:textId="77777777" w:rsidR="00DF7327" w:rsidRDefault="00DF7327" w:rsidP="00DF7327">
      <w:pPr>
        <w:sectPr w:rsidR="00DF7327" w:rsidSect="00495D51">
          <w:type w:val="continuous"/>
          <w:pgSz w:w="11906" w:h="16838" w:code="9"/>
          <w:pgMar w:top="992" w:right="851" w:bottom="992" w:left="851" w:header="567" w:footer="567" w:gutter="0"/>
          <w:cols w:space="284"/>
          <w:docGrid w:linePitch="360"/>
        </w:sectPr>
      </w:pPr>
    </w:p>
    <w:p w14:paraId="20AED404" w14:textId="77777777" w:rsidR="00495D51" w:rsidRDefault="00495D51" w:rsidP="00DF7327">
      <w:pPr>
        <w:pStyle w:val="Highlight-Pink"/>
      </w:pPr>
    </w:p>
    <w:p w14:paraId="5068E862" w14:textId="77777777" w:rsidR="00495D51" w:rsidRDefault="00495D51" w:rsidP="00DF7327">
      <w:pPr>
        <w:pStyle w:val="Highlight-Pink"/>
      </w:pPr>
    </w:p>
    <w:p w14:paraId="3762B600" w14:textId="77777777" w:rsidR="00495D51" w:rsidRDefault="00495D51" w:rsidP="00DF7327">
      <w:pPr>
        <w:pStyle w:val="Highlight-Pink"/>
      </w:pPr>
    </w:p>
    <w:p w14:paraId="7D238DD4" w14:textId="77777777" w:rsidR="00495D51" w:rsidRDefault="00495D51" w:rsidP="00DF7327">
      <w:pPr>
        <w:pStyle w:val="Highlight-Pink"/>
      </w:pPr>
    </w:p>
    <w:p w14:paraId="4FC51CAE" w14:textId="77777777" w:rsidR="00495D51" w:rsidRDefault="00495D51" w:rsidP="00DF7327">
      <w:pPr>
        <w:pStyle w:val="Highlight-Pink"/>
      </w:pPr>
    </w:p>
    <w:p w14:paraId="4C31697D" w14:textId="77777777" w:rsidR="00495D51" w:rsidRDefault="00495D51" w:rsidP="00DF7327">
      <w:pPr>
        <w:pStyle w:val="Highlight-Pink"/>
      </w:pPr>
    </w:p>
    <w:p w14:paraId="48B369CB" w14:textId="77777777" w:rsidR="00495D51" w:rsidRDefault="00495D51" w:rsidP="00DF7327">
      <w:pPr>
        <w:pStyle w:val="Highlight-Pink"/>
      </w:pPr>
    </w:p>
    <w:p w14:paraId="4872D788" w14:textId="77777777" w:rsidR="00495D51" w:rsidRDefault="00495D51" w:rsidP="00DF7327">
      <w:pPr>
        <w:pStyle w:val="Highlight-Pink"/>
      </w:pPr>
    </w:p>
    <w:p w14:paraId="3186E823" w14:textId="17EDDC90" w:rsidR="00DF7327" w:rsidRDefault="00DF7327" w:rsidP="00602D25">
      <w:pPr>
        <w:pStyle w:val="Heading1"/>
      </w:pPr>
      <w:r>
        <w:t>Goal 2: Facts and Figures</w:t>
      </w:r>
    </w:p>
    <w:p w14:paraId="7F895A0A" w14:textId="77777777" w:rsidR="00DF7327" w:rsidRDefault="00DF7327" w:rsidP="00DF7327"/>
    <w:p w14:paraId="5D04BFA7" w14:textId="57C7B41F" w:rsidR="00DF7327" w:rsidRPr="00583D58" w:rsidRDefault="00DF7327" w:rsidP="690D41A3">
      <w:pPr>
        <w:rPr>
          <w:rStyle w:val="Strong"/>
          <w:sz w:val="24"/>
          <w:szCs w:val="24"/>
        </w:rPr>
      </w:pPr>
      <w:r w:rsidRPr="690D41A3">
        <w:rPr>
          <w:rStyle w:val="Strong"/>
          <w:sz w:val="24"/>
          <w:szCs w:val="24"/>
        </w:rPr>
        <w:t xml:space="preserve">WDV provides lived experience expertise on safety, </w:t>
      </w:r>
      <w:proofErr w:type="gramStart"/>
      <w:r w:rsidRPr="690D41A3">
        <w:rPr>
          <w:rStyle w:val="Strong"/>
          <w:sz w:val="24"/>
          <w:szCs w:val="24"/>
        </w:rPr>
        <w:t>wellbeing</w:t>
      </w:r>
      <w:proofErr w:type="gramEnd"/>
      <w:r w:rsidRPr="690D41A3">
        <w:rPr>
          <w:rStyle w:val="Strong"/>
          <w:sz w:val="24"/>
          <w:szCs w:val="24"/>
        </w:rPr>
        <w:t xml:space="preserve"> and connections</w:t>
      </w:r>
      <w:r w:rsidR="37E58BB1" w:rsidRPr="690D41A3">
        <w:rPr>
          <w:rStyle w:val="Strong"/>
          <w:sz w:val="24"/>
          <w:szCs w:val="24"/>
        </w:rPr>
        <w:t>.</w:t>
      </w:r>
    </w:p>
    <w:p w14:paraId="1A393E7D" w14:textId="77777777" w:rsidR="00DF7327" w:rsidRDefault="00DF7327" w:rsidP="690D41A3">
      <w:pPr>
        <w:rPr>
          <w:sz w:val="24"/>
          <w:szCs w:val="24"/>
        </w:rPr>
      </w:pPr>
      <w:r w:rsidRPr="690D41A3">
        <w:rPr>
          <w:rStyle w:val="BoldPurple"/>
          <w:sz w:val="24"/>
          <w:szCs w:val="24"/>
        </w:rPr>
        <w:t>16 Expert by Experience (</w:t>
      </w:r>
      <w:proofErr w:type="spellStart"/>
      <w:r w:rsidRPr="690D41A3">
        <w:rPr>
          <w:rStyle w:val="BoldPurple"/>
          <w:sz w:val="24"/>
          <w:szCs w:val="24"/>
        </w:rPr>
        <w:t>EbE</w:t>
      </w:r>
      <w:proofErr w:type="spellEnd"/>
      <w:r w:rsidRPr="690D41A3">
        <w:rPr>
          <w:rStyle w:val="BoldPurple"/>
          <w:sz w:val="24"/>
          <w:szCs w:val="24"/>
        </w:rPr>
        <w:t>)</w:t>
      </w:r>
      <w:r w:rsidRPr="690D41A3">
        <w:rPr>
          <w:sz w:val="24"/>
          <w:szCs w:val="24"/>
        </w:rPr>
        <w:t xml:space="preserve"> Prevention consultation </w:t>
      </w:r>
      <w:proofErr w:type="gramStart"/>
      <w:r w:rsidRPr="690D41A3">
        <w:rPr>
          <w:sz w:val="24"/>
          <w:szCs w:val="24"/>
        </w:rPr>
        <w:t>sessions;</w:t>
      </w:r>
      <w:proofErr w:type="gramEnd"/>
    </w:p>
    <w:p w14:paraId="211F0C91" w14:textId="77777777" w:rsidR="00DF7327" w:rsidRDefault="00DF7327" w:rsidP="690D41A3">
      <w:pPr>
        <w:rPr>
          <w:sz w:val="24"/>
          <w:szCs w:val="24"/>
        </w:rPr>
      </w:pPr>
      <w:r w:rsidRPr="690D41A3">
        <w:rPr>
          <w:rStyle w:val="BoldPurple"/>
          <w:sz w:val="24"/>
          <w:szCs w:val="24"/>
        </w:rPr>
        <w:t xml:space="preserve">18 </w:t>
      </w:r>
      <w:proofErr w:type="spellStart"/>
      <w:r w:rsidRPr="690D41A3">
        <w:rPr>
          <w:rStyle w:val="BoldPurple"/>
          <w:sz w:val="24"/>
          <w:szCs w:val="24"/>
        </w:rPr>
        <w:t>EbE</w:t>
      </w:r>
      <w:proofErr w:type="spellEnd"/>
      <w:r w:rsidRPr="690D41A3">
        <w:rPr>
          <w:rStyle w:val="BoldPurple"/>
          <w:sz w:val="24"/>
          <w:szCs w:val="24"/>
        </w:rPr>
        <w:t xml:space="preserve"> Health training </w:t>
      </w:r>
      <w:proofErr w:type="gramStart"/>
      <w:r w:rsidRPr="690D41A3">
        <w:rPr>
          <w:rStyle w:val="BoldPurple"/>
          <w:sz w:val="24"/>
          <w:szCs w:val="24"/>
        </w:rPr>
        <w:t>sessions</w:t>
      </w:r>
      <w:r w:rsidRPr="690D41A3">
        <w:rPr>
          <w:sz w:val="24"/>
          <w:szCs w:val="24"/>
        </w:rPr>
        <w:t>;</w:t>
      </w:r>
      <w:proofErr w:type="gramEnd"/>
    </w:p>
    <w:p w14:paraId="3F31D145" w14:textId="77777777" w:rsidR="00DF7327" w:rsidRDefault="00DF7327" w:rsidP="690D41A3">
      <w:pPr>
        <w:rPr>
          <w:sz w:val="24"/>
          <w:szCs w:val="24"/>
        </w:rPr>
      </w:pPr>
      <w:r w:rsidRPr="690D41A3">
        <w:rPr>
          <w:rStyle w:val="BoldPurple"/>
          <w:sz w:val="24"/>
          <w:szCs w:val="24"/>
        </w:rPr>
        <w:t>11 women employed</w:t>
      </w:r>
      <w:r w:rsidRPr="690D41A3">
        <w:rPr>
          <w:sz w:val="24"/>
          <w:szCs w:val="24"/>
        </w:rPr>
        <w:t xml:space="preserve"> to deliver these programs.</w:t>
      </w:r>
    </w:p>
    <w:p w14:paraId="38655C1C" w14:textId="056D2B4D" w:rsidR="00DF7327" w:rsidRPr="00583D58" w:rsidRDefault="00DF7327" w:rsidP="690D41A3">
      <w:pPr>
        <w:rPr>
          <w:rStyle w:val="Strong"/>
          <w:sz w:val="24"/>
          <w:szCs w:val="24"/>
        </w:rPr>
      </w:pPr>
      <w:r w:rsidRPr="690D41A3">
        <w:rPr>
          <w:rStyle w:val="Strong"/>
          <w:sz w:val="24"/>
          <w:szCs w:val="24"/>
        </w:rPr>
        <w:t xml:space="preserve">WDV </w:t>
      </w:r>
      <w:hyperlink r:id="rId27">
        <w:r w:rsidRPr="690D41A3">
          <w:rPr>
            <w:rStyle w:val="Hyperlink"/>
            <w:b/>
            <w:bCs/>
            <w:sz w:val="24"/>
            <w:szCs w:val="24"/>
          </w:rPr>
          <w:t>Sexual and Reproductive Health</w:t>
        </w:r>
      </w:hyperlink>
      <w:r w:rsidRPr="690D41A3">
        <w:rPr>
          <w:rStyle w:val="Strong"/>
          <w:sz w:val="24"/>
          <w:szCs w:val="24"/>
        </w:rPr>
        <w:t xml:space="preserve"> resources and training sessions</w:t>
      </w:r>
    </w:p>
    <w:p w14:paraId="238B69A0" w14:textId="77777777" w:rsidR="00DF7327" w:rsidRDefault="00DF7327" w:rsidP="690D41A3">
      <w:pPr>
        <w:rPr>
          <w:sz w:val="24"/>
          <w:szCs w:val="24"/>
        </w:rPr>
      </w:pPr>
      <w:r w:rsidRPr="690D41A3">
        <w:rPr>
          <w:rStyle w:val="BoldPurple"/>
          <w:sz w:val="24"/>
          <w:szCs w:val="24"/>
        </w:rPr>
        <w:t>3</w:t>
      </w:r>
      <w:r w:rsidRPr="690D41A3">
        <w:rPr>
          <w:sz w:val="24"/>
          <w:szCs w:val="24"/>
        </w:rPr>
        <w:t xml:space="preserve"> resources for </w:t>
      </w:r>
      <w:r w:rsidRPr="690D41A3">
        <w:rPr>
          <w:rStyle w:val="BoldPurple"/>
          <w:sz w:val="24"/>
          <w:szCs w:val="24"/>
        </w:rPr>
        <w:t>sexual and reproductive health (SRH) services</w:t>
      </w:r>
      <w:r w:rsidRPr="690D41A3">
        <w:rPr>
          <w:sz w:val="24"/>
          <w:szCs w:val="24"/>
        </w:rPr>
        <w:t xml:space="preserve"> finalised.</w:t>
      </w:r>
    </w:p>
    <w:p w14:paraId="365FF598" w14:textId="77777777" w:rsidR="00DF7327" w:rsidRDefault="00DF7327" w:rsidP="690D41A3">
      <w:pPr>
        <w:rPr>
          <w:sz w:val="24"/>
          <w:szCs w:val="24"/>
        </w:rPr>
      </w:pPr>
      <w:r w:rsidRPr="690D41A3">
        <w:rPr>
          <w:rStyle w:val="BoldPurple"/>
          <w:sz w:val="24"/>
          <w:szCs w:val="24"/>
        </w:rPr>
        <w:t>149</w:t>
      </w:r>
      <w:r w:rsidRPr="690D41A3">
        <w:rPr>
          <w:sz w:val="24"/>
          <w:szCs w:val="24"/>
        </w:rPr>
        <w:t xml:space="preserve"> completions of eLearning modules and videos.</w:t>
      </w:r>
    </w:p>
    <w:p w14:paraId="1A5D9339" w14:textId="77777777" w:rsidR="00DF7327" w:rsidRDefault="00DF7327" w:rsidP="690D41A3">
      <w:pPr>
        <w:rPr>
          <w:sz w:val="24"/>
          <w:szCs w:val="24"/>
        </w:rPr>
      </w:pPr>
      <w:r w:rsidRPr="690D41A3">
        <w:rPr>
          <w:rStyle w:val="BoldPurple"/>
          <w:sz w:val="24"/>
          <w:szCs w:val="24"/>
        </w:rPr>
        <w:t>2 new webinar resources</w:t>
      </w:r>
      <w:r w:rsidRPr="690D41A3">
        <w:rPr>
          <w:sz w:val="24"/>
          <w:szCs w:val="24"/>
        </w:rPr>
        <w:t xml:space="preserve"> developed:</w:t>
      </w:r>
    </w:p>
    <w:p w14:paraId="12E5C4BB" w14:textId="77777777" w:rsidR="00DF7327" w:rsidRDefault="00DF7327" w:rsidP="006C29C0">
      <w:pPr>
        <w:pStyle w:val="ListBullet"/>
        <w:rPr>
          <w:sz w:val="24"/>
        </w:rPr>
      </w:pPr>
      <w:r w:rsidRPr="690D41A3">
        <w:rPr>
          <w:sz w:val="24"/>
        </w:rPr>
        <w:t>Sexual and reproductive health of women with disabilities, and</w:t>
      </w:r>
    </w:p>
    <w:p w14:paraId="13B8F74E" w14:textId="77777777" w:rsidR="00DF7327" w:rsidRDefault="00DF7327" w:rsidP="006C29C0">
      <w:pPr>
        <w:pStyle w:val="ListBullet"/>
        <w:spacing w:after="120"/>
        <w:rPr>
          <w:sz w:val="24"/>
        </w:rPr>
      </w:pPr>
      <w:r w:rsidRPr="690D41A3">
        <w:rPr>
          <w:sz w:val="24"/>
        </w:rPr>
        <w:t>Reproductive coercion of women with disabilities.</w:t>
      </w:r>
    </w:p>
    <w:p w14:paraId="39F415BF" w14:textId="77777777" w:rsidR="00DF7327" w:rsidRDefault="00DF7327" w:rsidP="690D41A3">
      <w:pPr>
        <w:rPr>
          <w:rStyle w:val="BoldPurple"/>
          <w:sz w:val="24"/>
          <w:szCs w:val="24"/>
        </w:rPr>
      </w:pPr>
      <w:r w:rsidRPr="690D41A3">
        <w:rPr>
          <w:sz w:val="24"/>
          <w:szCs w:val="24"/>
        </w:rPr>
        <w:t xml:space="preserve">Consulted with Women’s Health in the </w:t>
      </w:r>
      <w:proofErr w:type="gramStart"/>
      <w:r w:rsidRPr="690D41A3">
        <w:rPr>
          <w:sz w:val="24"/>
          <w:szCs w:val="24"/>
        </w:rPr>
        <w:t>South East</w:t>
      </w:r>
      <w:proofErr w:type="gramEnd"/>
      <w:r w:rsidRPr="690D41A3">
        <w:rPr>
          <w:sz w:val="24"/>
          <w:szCs w:val="24"/>
        </w:rPr>
        <w:t xml:space="preserve"> on their </w:t>
      </w:r>
      <w:r w:rsidRPr="690D41A3">
        <w:rPr>
          <w:rStyle w:val="BoldPurple"/>
          <w:sz w:val="24"/>
          <w:szCs w:val="24"/>
        </w:rPr>
        <w:t>Sexual and Reproductive Health Strategic Plan.</w:t>
      </w:r>
    </w:p>
    <w:p w14:paraId="7F28416A" w14:textId="17669FE6" w:rsidR="00DF7327" w:rsidRPr="00583D58" w:rsidRDefault="00DF7327" w:rsidP="690D41A3">
      <w:pPr>
        <w:rPr>
          <w:rStyle w:val="Strong"/>
          <w:sz w:val="24"/>
          <w:szCs w:val="24"/>
        </w:rPr>
      </w:pPr>
      <w:r w:rsidRPr="690D41A3">
        <w:rPr>
          <w:rStyle w:val="Strong"/>
          <w:sz w:val="24"/>
          <w:szCs w:val="24"/>
        </w:rPr>
        <w:t>Work collaboratively to ensure gender equity reforms reflect the needs of women with disabilities</w:t>
      </w:r>
    </w:p>
    <w:p w14:paraId="46626D21" w14:textId="77777777" w:rsidR="00DF7327" w:rsidRDefault="00DF7327" w:rsidP="690D41A3">
      <w:pPr>
        <w:rPr>
          <w:sz w:val="24"/>
          <w:szCs w:val="24"/>
        </w:rPr>
      </w:pPr>
      <w:r w:rsidRPr="690D41A3">
        <w:rPr>
          <w:rStyle w:val="BoldPurple"/>
          <w:sz w:val="24"/>
          <w:szCs w:val="24"/>
        </w:rPr>
        <w:t>3 resources</w:t>
      </w:r>
      <w:r w:rsidRPr="690D41A3">
        <w:rPr>
          <w:sz w:val="24"/>
          <w:szCs w:val="24"/>
        </w:rPr>
        <w:t xml:space="preserve"> developed to promote gender equal mental health provision in the context of COVID-19, targeting women with disabilities, disability support organisations and women’s health services respectively</w:t>
      </w:r>
      <w:proofErr w:type="gramStart"/>
      <w:r w:rsidRPr="690D41A3">
        <w:rPr>
          <w:sz w:val="24"/>
          <w:szCs w:val="24"/>
        </w:rPr>
        <w:t xml:space="preserve">.  </w:t>
      </w:r>
      <w:proofErr w:type="gramEnd"/>
    </w:p>
    <w:p w14:paraId="49015AF0" w14:textId="77777777" w:rsidR="00DF7327" w:rsidRDefault="00DF7327" w:rsidP="006D4641">
      <w:pPr>
        <w:pStyle w:val="ListBullet"/>
        <w:rPr>
          <w:sz w:val="24"/>
        </w:rPr>
      </w:pPr>
      <w:r w:rsidRPr="690D41A3">
        <w:rPr>
          <w:sz w:val="24"/>
        </w:rPr>
        <w:t xml:space="preserve">COVID-19 and Your Mental Health: A Resource for Women with Disabilities </w:t>
      </w:r>
    </w:p>
    <w:p w14:paraId="540A7BC2" w14:textId="77777777" w:rsidR="00DF7327" w:rsidRDefault="00DF7327" w:rsidP="006D4641">
      <w:pPr>
        <w:pStyle w:val="ListBullet"/>
        <w:rPr>
          <w:sz w:val="24"/>
        </w:rPr>
      </w:pPr>
      <w:r w:rsidRPr="690D41A3">
        <w:rPr>
          <w:sz w:val="24"/>
        </w:rPr>
        <w:t>Women with Disabilities, COVID-</w:t>
      </w:r>
      <w:proofErr w:type="gramStart"/>
      <w:r w:rsidRPr="690D41A3">
        <w:rPr>
          <w:sz w:val="24"/>
        </w:rPr>
        <w:t>19</w:t>
      </w:r>
      <w:proofErr w:type="gramEnd"/>
      <w:r w:rsidRPr="690D41A3">
        <w:rPr>
          <w:sz w:val="24"/>
        </w:rPr>
        <w:t xml:space="preserve"> and Mental Health: What Can I Do? A Resource for Disability Workers </w:t>
      </w:r>
    </w:p>
    <w:p w14:paraId="313AA1C3" w14:textId="77777777" w:rsidR="00DF7327" w:rsidRDefault="00DF7327" w:rsidP="006D4641">
      <w:pPr>
        <w:pStyle w:val="ListBullet"/>
        <w:rPr>
          <w:sz w:val="24"/>
        </w:rPr>
      </w:pPr>
      <w:r w:rsidRPr="690D41A3">
        <w:rPr>
          <w:sz w:val="24"/>
        </w:rPr>
        <w:t>Women with Disabilities, COVID-</w:t>
      </w:r>
      <w:proofErr w:type="gramStart"/>
      <w:r w:rsidRPr="690D41A3">
        <w:rPr>
          <w:sz w:val="24"/>
        </w:rPr>
        <w:t>19</w:t>
      </w:r>
      <w:proofErr w:type="gramEnd"/>
      <w:r w:rsidRPr="690D41A3">
        <w:rPr>
          <w:sz w:val="24"/>
        </w:rPr>
        <w:t xml:space="preserve"> and Mental Health: A Resource for Women’s Health and Disability Organisations</w:t>
      </w:r>
    </w:p>
    <w:p w14:paraId="4399DF12" w14:textId="5CF10CF9" w:rsidR="00DF7327" w:rsidRPr="00583D58" w:rsidRDefault="00DF7327" w:rsidP="690D41A3">
      <w:pPr>
        <w:rPr>
          <w:rStyle w:val="Strong"/>
          <w:sz w:val="24"/>
          <w:szCs w:val="24"/>
        </w:rPr>
      </w:pPr>
      <w:r w:rsidRPr="690D41A3">
        <w:rPr>
          <w:rStyle w:val="Strong"/>
          <w:sz w:val="24"/>
          <w:szCs w:val="24"/>
        </w:rPr>
        <w:t>Workforce Capacity Building Programs</w:t>
      </w:r>
    </w:p>
    <w:p w14:paraId="010F7DA0" w14:textId="77777777" w:rsidR="00DF7327" w:rsidRDefault="00DF7327" w:rsidP="690D41A3">
      <w:pPr>
        <w:rPr>
          <w:sz w:val="24"/>
          <w:szCs w:val="24"/>
        </w:rPr>
      </w:pPr>
      <w:r w:rsidRPr="690D41A3">
        <w:rPr>
          <w:sz w:val="24"/>
          <w:szCs w:val="24"/>
        </w:rPr>
        <w:t>Eastern Metropolitan Region Community of Practice:</w:t>
      </w:r>
    </w:p>
    <w:p w14:paraId="4A530C8F" w14:textId="77777777" w:rsidR="00DF7327" w:rsidRDefault="00DF7327" w:rsidP="690D41A3">
      <w:pPr>
        <w:rPr>
          <w:sz w:val="24"/>
          <w:szCs w:val="24"/>
        </w:rPr>
      </w:pPr>
      <w:r w:rsidRPr="690D41A3">
        <w:rPr>
          <w:rStyle w:val="BoldPurple"/>
          <w:sz w:val="24"/>
          <w:szCs w:val="24"/>
        </w:rPr>
        <w:t>16 organisations</w:t>
      </w:r>
      <w:r w:rsidRPr="690D41A3">
        <w:rPr>
          <w:sz w:val="24"/>
          <w:szCs w:val="24"/>
        </w:rPr>
        <w:t xml:space="preserve"> submitted expressions of interest from </w:t>
      </w:r>
      <w:r w:rsidRPr="690D41A3">
        <w:rPr>
          <w:rStyle w:val="BoldPurple"/>
          <w:sz w:val="24"/>
          <w:szCs w:val="24"/>
        </w:rPr>
        <w:t>26 participants</w:t>
      </w:r>
      <w:r w:rsidRPr="690D41A3">
        <w:rPr>
          <w:sz w:val="24"/>
          <w:szCs w:val="24"/>
        </w:rPr>
        <w:t xml:space="preserve"> (all women) as follows:</w:t>
      </w:r>
    </w:p>
    <w:p w14:paraId="6F15B4F2" w14:textId="77777777" w:rsidR="00DF7327" w:rsidRDefault="00DF7327" w:rsidP="690D41A3">
      <w:pPr>
        <w:rPr>
          <w:sz w:val="24"/>
          <w:szCs w:val="24"/>
        </w:rPr>
      </w:pPr>
      <w:r w:rsidRPr="690D41A3">
        <w:rPr>
          <w:rStyle w:val="BoldPurple"/>
          <w:sz w:val="24"/>
          <w:szCs w:val="24"/>
        </w:rPr>
        <w:t>2</w:t>
      </w:r>
      <w:r w:rsidRPr="690D41A3">
        <w:rPr>
          <w:sz w:val="24"/>
          <w:szCs w:val="24"/>
        </w:rPr>
        <w:t xml:space="preserve"> </w:t>
      </w:r>
      <w:r w:rsidRPr="690D41A3">
        <w:rPr>
          <w:rStyle w:val="BoldPurple"/>
          <w:sz w:val="24"/>
          <w:szCs w:val="24"/>
        </w:rPr>
        <w:t>Women’s Health Services</w:t>
      </w:r>
      <w:r w:rsidRPr="690D41A3">
        <w:rPr>
          <w:sz w:val="24"/>
          <w:szCs w:val="24"/>
        </w:rPr>
        <w:t>:</w:t>
      </w:r>
    </w:p>
    <w:p w14:paraId="2ECB9BE8" w14:textId="77777777" w:rsidR="00DF7327" w:rsidRDefault="00DF7327" w:rsidP="690D41A3">
      <w:pPr>
        <w:rPr>
          <w:sz w:val="24"/>
          <w:szCs w:val="24"/>
        </w:rPr>
      </w:pPr>
      <w:r w:rsidRPr="690D41A3">
        <w:rPr>
          <w:sz w:val="24"/>
          <w:szCs w:val="24"/>
        </w:rPr>
        <w:t>Women’s Health East and Multicultural Centre for Women’s Health.</w:t>
      </w:r>
    </w:p>
    <w:p w14:paraId="5428CDA6" w14:textId="77777777" w:rsidR="00DF7327" w:rsidRDefault="00DF7327" w:rsidP="690D41A3">
      <w:pPr>
        <w:rPr>
          <w:sz w:val="24"/>
          <w:szCs w:val="24"/>
        </w:rPr>
      </w:pPr>
      <w:r w:rsidRPr="690D41A3">
        <w:rPr>
          <w:rStyle w:val="BoldPurple"/>
          <w:sz w:val="24"/>
          <w:szCs w:val="24"/>
        </w:rPr>
        <w:t>3 Community Health Services</w:t>
      </w:r>
      <w:r w:rsidRPr="690D41A3">
        <w:rPr>
          <w:sz w:val="24"/>
          <w:szCs w:val="24"/>
        </w:rPr>
        <w:t>:</w:t>
      </w:r>
    </w:p>
    <w:p w14:paraId="3C664640" w14:textId="77777777" w:rsidR="00DF7327" w:rsidRDefault="00DF7327" w:rsidP="690D41A3">
      <w:pPr>
        <w:rPr>
          <w:sz w:val="24"/>
          <w:szCs w:val="24"/>
        </w:rPr>
      </w:pPr>
      <w:r w:rsidRPr="690D41A3">
        <w:rPr>
          <w:sz w:val="24"/>
          <w:szCs w:val="24"/>
        </w:rPr>
        <w:t>Eastern Health, Carrington Health and Family Planning Victoria.</w:t>
      </w:r>
    </w:p>
    <w:p w14:paraId="3AA1E323" w14:textId="77777777" w:rsidR="00DF7327" w:rsidRPr="006D4641" w:rsidRDefault="00DF7327" w:rsidP="690D41A3">
      <w:pPr>
        <w:rPr>
          <w:rStyle w:val="BoldPurple"/>
          <w:sz w:val="24"/>
          <w:szCs w:val="24"/>
        </w:rPr>
      </w:pPr>
      <w:r w:rsidRPr="690D41A3">
        <w:rPr>
          <w:rStyle w:val="BoldPurple"/>
          <w:sz w:val="24"/>
          <w:szCs w:val="24"/>
        </w:rPr>
        <w:t>8 Specialised Services:</w:t>
      </w:r>
    </w:p>
    <w:p w14:paraId="6F93800B" w14:textId="77777777" w:rsidR="00DF7327" w:rsidRDefault="00DF7327" w:rsidP="690D41A3">
      <w:pPr>
        <w:rPr>
          <w:sz w:val="24"/>
          <w:szCs w:val="24"/>
        </w:rPr>
      </w:pPr>
      <w:r w:rsidRPr="690D41A3">
        <w:rPr>
          <w:sz w:val="24"/>
          <w:szCs w:val="24"/>
        </w:rPr>
        <w:lastRenderedPageBreak/>
        <w:t xml:space="preserve">Care Support Network, </w:t>
      </w:r>
      <w:proofErr w:type="spellStart"/>
      <w:r w:rsidRPr="690D41A3">
        <w:rPr>
          <w:sz w:val="24"/>
          <w:szCs w:val="24"/>
        </w:rPr>
        <w:t>Monkami</w:t>
      </w:r>
      <w:proofErr w:type="spellEnd"/>
      <w:r w:rsidRPr="690D41A3">
        <w:rPr>
          <w:sz w:val="24"/>
          <w:szCs w:val="24"/>
        </w:rPr>
        <w:t>, Hearth Australia, Kevin Heinz Grow, ECASA (Eastern Centre Against Sexual Assault), EDVOS Family Violence Service for Women and Children, ECLC (Eastern Community Legal Centre) and MIC (Migrant Information Centre).</w:t>
      </w:r>
    </w:p>
    <w:p w14:paraId="08A40708" w14:textId="77777777" w:rsidR="00DF7327" w:rsidRPr="006D4641" w:rsidRDefault="00DF7327" w:rsidP="690D41A3">
      <w:pPr>
        <w:rPr>
          <w:rStyle w:val="BoldPurple"/>
          <w:sz w:val="24"/>
          <w:szCs w:val="24"/>
        </w:rPr>
      </w:pPr>
      <w:r w:rsidRPr="690D41A3">
        <w:rPr>
          <w:rStyle w:val="BoldPurple"/>
          <w:sz w:val="24"/>
          <w:szCs w:val="24"/>
        </w:rPr>
        <w:t>3 Statutory Organisations:</w:t>
      </w:r>
    </w:p>
    <w:p w14:paraId="7D7068AF" w14:textId="63C5EACA" w:rsidR="00487021" w:rsidRDefault="00DF7327" w:rsidP="690D41A3">
      <w:pPr>
        <w:rPr>
          <w:sz w:val="24"/>
          <w:szCs w:val="24"/>
        </w:rPr>
      </w:pPr>
      <w:r w:rsidRPr="690D41A3">
        <w:rPr>
          <w:sz w:val="24"/>
          <w:szCs w:val="24"/>
        </w:rPr>
        <w:t>Yarra Ranges Council, Knox Council and Victoria Department of Justice.</w:t>
      </w:r>
    </w:p>
    <w:p w14:paraId="3ACD238C" w14:textId="6AD9755E" w:rsidR="006D4641" w:rsidRDefault="006D4641" w:rsidP="00DF7327"/>
    <w:p w14:paraId="33788A3D" w14:textId="325C2000" w:rsidR="006D4641" w:rsidRDefault="006D4641">
      <w:pPr>
        <w:spacing w:line="276" w:lineRule="auto"/>
      </w:pPr>
      <w:r>
        <w:br w:type="page"/>
      </w:r>
    </w:p>
    <w:p w14:paraId="307910E8" w14:textId="77777777" w:rsidR="00696424" w:rsidRDefault="00696424" w:rsidP="00696424">
      <w:pPr>
        <w:pStyle w:val="Heading1"/>
      </w:pPr>
      <w:r>
        <w:lastRenderedPageBreak/>
        <w:t>Goal 3: Create long term change</w:t>
      </w:r>
    </w:p>
    <w:p w14:paraId="2F8A553F" w14:textId="1502C5FF" w:rsidR="00696424" w:rsidRDefault="00696424" w:rsidP="00696424">
      <w:pPr>
        <w:pStyle w:val="Highlight-Pink"/>
      </w:pPr>
      <w:r>
        <w:t xml:space="preserve">through engagement, </w:t>
      </w:r>
      <w:proofErr w:type="gramStart"/>
      <w:r>
        <w:t>education</w:t>
      </w:r>
      <w:proofErr w:type="gramEnd"/>
      <w:r>
        <w:t xml:space="preserve"> and advocacy</w:t>
      </w:r>
    </w:p>
    <w:p w14:paraId="4EA053FA" w14:textId="77777777" w:rsidR="00696424" w:rsidRDefault="00696424" w:rsidP="00696424">
      <w:pPr>
        <w:sectPr w:rsidR="00696424" w:rsidSect="00DF7327">
          <w:type w:val="continuous"/>
          <w:pgSz w:w="11906" w:h="16838" w:code="9"/>
          <w:pgMar w:top="992" w:right="851" w:bottom="992" w:left="851" w:header="567" w:footer="567" w:gutter="0"/>
          <w:cols w:space="339"/>
          <w:docGrid w:linePitch="360"/>
        </w:sectPr>
      </w:pPr>
    </w:p>
    <w:p w14:paraId="2672847B" w14:textId="1251290B" w:rsidR="00696424" w:rsidRPr="00696424" w:rsidRDefault="00696424" w:rsidP="00696424"/>
    <w:p w14:paraId="68F517DE" w14:textId="77777777" w:rsidR="00696424" w:rsidRDefault="00696424" w:rsidP="690D41A3">
      <w:pPr>
        <w:rPr>
          <w:sz w:val="24"/>
          <w:szCs w:val="24"/>
        </w:rPr>
      </w:pPr>
      <w:r w:rsidRPr="690D41A3">
        <w:rPr>
          <w:sz w:val="24"/>
          <w:szCs w:val="24"/>
        </w:rPr>
        <w:t>Priorities include information gathering and advocacy to influence government policy on gendered violence and women’s social and economic inclusion, both through specific government policy reforms as well as through mainstream service delivery policy and program frameworks.</w:t>
      </w:r>
    </w:p>
    <w:p w14:paraId="1DA19284" w14:textId="77777777" w:rsidR="00696424" w:rsidRPr="00651C3B" w:rsidRDefault="00696424" w:rsidP="00696424">
      <w:pPr>
        <w:rPr>
          <w:rStyle w:val="IntenseEmphasis"/>
        </w:rPr>
      </w:pPr>
      <w:r w:rsidRPr="00651C3B">
        <w:rPr>
          <w:rStyle w:val="IntenseEmphasis"/>
        </w:rPr>
        <w:t xml:space="preserve">WDV will work to improve the accessibility of service provision through representing the diverse lives of women with disabilities and offering education, training, </w:t>
      </w:r>
      <w:proofErr w:type="gramStart"/>
      <w:r w:rsidRPr="00651C3B">
        <w:rPr>
          <w:rStyle w:val="IntenseEmphasis"/>
        </w:rPr>
        <w:t>referrals</w:t>
      </w:r>
      <w:proofErr w:type="gramEnd"/>
      <w:r w:rsidRPr="00651C3B">
        <w:rPr>
          <w:rStyle w:val="IntenseEmphasis"/>
        </w:rPr>
        <w:t xml:space="preserve"> and advice to service providers. </w:t>
      </w:r>
    </w:p>
    <w:p w14:paraId="5A7E96E3" w14:textId="77777777" w:rsidR="00696424" w:rsidRDefault="00696424" w:rsidP="690D41A3">
      <w:pPr>
        <w:rPr>
          <w:sz w:val="24"/>
          <w:szCs w:val="24"/>
        </w:rPr>
      </w:pPr>
      <w:r w:rsidRPr="690D41A3">
        <w:rPr>
          <w:sz w:val="24"/>
          <w:szCs w:val="24"/>
        </w:rPr>
        <w:t xml:space="preserve">This year the WDV Workforce Development Program provided training and consultation about prevention of violence against women with disabilities to a range of relevant organisations, including disability services, women’s </w:t>
      </w:r>
      <w:proofErr w:type="gramStart"/>
      <w:r w:rsidRPr="690D41A3">
        <w:rPr>
          <w:sz w:val="24"/>
          <w:szCs w:val="24"/>
        </w:rPr>
        <w:t>services</w:t>
      </w:r>
      <w:proofErr w:type="gramEnd"/>
      <w:r w:rsidRPr="690D41A3">
        <w:rPr>
          <w:sz w:val="24"/>
          <w:szCs w:val="24"/>
        </w:rPr>
        <w:t xml:space="preserve"> and government. As well as providing leadership in disability inclusive violence prevention, Gender and Disability equality initiatives increased across the community.</w:t>
      </w:r>
    </w:p>
    <w:p w14:paraId="456F6080" w14:textId="77777777" w:rsidR="00696424" w:rsidRDefault="00696424" w:rsidP="690D41A3">
      <w:pPr>
        <w:rPr>
          <w:sz w:val="24"/>
          <w:szCs w:val="24"/>
        </w:rPr>
      </w:pPr>
      <w:r w:rsidRPr="690D41A3">
        <w:rPr>
          <w:sz w:val="24"/>
          <w:szCs w:val="24"/>
        </w:rPr>
        <w:t xml:space="preserve">WDV worked to develop the capacity of family violence prevention and response workforces through systems and structural change. This was achieved through providing training, resources and support for violence prevention and response workers in Victoria to understand the needs of women with disabilities from a diverse range of backgrounds and perspectives. We lobbied government to advance outcomes for women with disability by ensuring appropriate policy responses are provided for women with disability through COVID, including specialised family violence crisis funding. </w:t>
      </w:r>
    </w:p>
    <w:p w14:paraId="134471AD" w14:textId="460B9CF9" w:rsidR="006D4641" w:rsidRDefault="00696424" w:rsidP="690D41A3">
      <w:pPr>
        <w:rPr>
          <w:sz w:val="24"/>
          <w:szCs w:val="24"/>
        </w:rPr>
      </w:pPr>
      <w:r w:rsidRPr="690D41A3">
        <w:rPr>
          <w:sz w:val="24"/>
          <w:szCs w:val="24"/>
        </w:rPr>
        <w:t>We advocated for the embedding of disability specific expertise within family violence reform initiatives. We also proactively provided advice to the government and not for profit sectors about the needs of women with disabilities, using collaborative approaches to work with government and the community sector to provide advice about gender and disability.</w:t>
      </w:r>
    </w:p>
    <w:p w14:paraId="5418FCA2" w14:textId="77777777" w:rsidR="00D8048D" w:rsidRDefault="00D8048D" w:rsidP="00D8048D">
      <w:r>
        <w:br w:type="column"/>
      </w:r>
    </w:p>
    <w:p w14:paraId="518B147E" w14:textId="11325CA6" w:rsidR="00D8048D" w:rsidRDefault="00D8048D" w:rsidP="002601A5">
      <w:pPr>
        <w:pStyle w:val="Heading3"/>
        <w:pBdr>
          <w:top w:val="single" w:sz="4" w:space="1" w:color="A9218E" w:themeColor="accent2"/>
          <w:left w:val="single" w:sz="4" w:space="4" w:color="A9218E" w:themeColor="accent2"/>
          <w:bottom w:val="single" w:sz="4" w:space="1" w:color="A9218E" w:themeColor="accent2"/>
          <w:right w:val="single" w:sz="4" w:space="4" w:color="A9218E" w:themeColor="accent2"/>
        </w:pBdr>
      </w:pPr>
      <w:r>
        <w:t>Royal Commission into Violence Abuse and Neglect of People with Disabilities Webinar</w:t>
      </w:r>
    </w:p>
    <w:p w14:paraId="5F9E0083" w14:textId="0B9AD739" w:rsidR="00D8048D" w:rsidRDefault="00D05E42" w:rsidP="002601A5">
      <w:pPr>
        <w:pBdr>
          <w:top w:val="single" w:sz="4" w:space="1" w:color="A9218E" w:themeColor="accent2"/>
          <w:left w:val="single" w:sz="4" w:space="4" w:color="A9218E" w:themeColor="accent2"/>
          <w:bottom w:val="single" w:sz="4" w:space="1" w:color="A9218E" w:themeColor="accent2"/>
          <w:right w:val="single" w:sz="4" w:space="4" w:color="A9218E" w:themeColor="accent2"/>
        </w:pBdr>
      </w:pPr>
      <w:r>
        <w:rPr>
          <w:noProof/>
          <w:lang w:eastAsia="en-AU"/>
        </w:rPr>
        <w:drawing>
          <wp:inline distT="0" distB="0" distL="0" distR="0" wp14:anchorId="18F22273" wp14:editId="5AB9FA87">
            <wp:extent cx="887104" cy="887104"/>
            <wp:effectExtent l="0" t="0" r="8255" b="8255"/>
            <wp:docPr id="8" name="Picture 8" descr="Photo of Jen Hargrave, a white woman with short brown hair. She is wearing glasses and looking at the camera with a closed mouth smile. She is wearing a blue top and has a lanyard around her n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hoto of Jen Hargrave, a white woman with short brown hair. She is wearing glasses and looking at the camera with a closed mouth smile. She is wearing a blue top and has a lanyard around her neck."/>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93964" cy="893964"/>
                    </a:xfrm>
                    <a:prstGeom prst="rect">
                      <a:avLst/>
                    </a:prstGeom>
                  </pic:spPr>
                </pic:pic>
              </a:graphicData>
            </a:graphic>
          </wp:inline>
        </w:drawing>
      </w:r>
      <w:r w:rsidR="002601A5">
        <w:t xml:space="preserve"> </w:t>
      </w:r>
      <w:r w:rsidR="00D8048D">
        <w:t>by Jen Hargrave</w:t>
      </w:r>
    </w:p>
    <w:p w14:paraId="4B867A28" w14:textId="77777777" w:rsidR="00D8048D" w:rsidRDefault="00D8048D" w:rsidP="690D41A3">
      <w:pPr>
        <w:pBdr>
          <w:top w:val="single" w:sz="4" w:space="1" w:color="A9218E" w:themeColor="accent2"/>
          <w:left w:val="single" w:sz="4" w:space="4" w:color="A9218E" w:themeColor="accent2"/>
          <w:bottom w:val="single" w:sz="4" w:space="1" w:color="A9218E" w:themeColor="accent2"/>
          <w:right w:val="single" w:sz="4" w:space="4" w:color="A9218E" w:themeColor="accent2"/>
        </w:pBdr>
        <w:rPr>
          <w:sz w:val="24"/>
          <w:szCs w:val="24"/>
        </w:rPr>
      </w:pPr>
      <w:r w:rsidRPr="690D41A3">
        <w:rPr>
          <w:sz w:val="24"/>
          <w:szCs w:val="24"/>
        </w:rPr>
        <w:t>In June 2021 WDV ran a webinar about the Royal Commission into Violence Abuse and Neglect of People with Disabilities attended by over 60 WDV members, partner organisations and community members. We gave attendees an overview of some of the common forms of violence and barriers to safety experienced by women with disabilities.</w:t>
      </w:r>
    </w:p>
    <w:p w14:paraId="01091ED6" w14:textId="77777777" w:rsidR="00D8048D" w:rsidRPr="00D05E42" w:rsidRDefault="00D8048D" w:rsidP="690D41A3">
      <w:pPr>
        <w:pBdr>
          <w:top w:val="single" w:sz="4" w:space="1" w:color="A9218E" w:themeColor="accent2"/>
          <w:left w:val="single" w:sz="4" w:space="4" w:color="A9218E" w:themeColor="accent2"/>
          <w:bottom w:val="single" w:sz="4" w:space="1" w:color="A9218E" w:themeColor="accent2"/>
          <w:right w:val="single" w:sz="4" w:space="4" w:color="A9218E" w:themeColor="accent2"/>
        </w:pBdr>
        <w:rPr>
          <w:rStyle w:val="BoldPurple"/>
          <w:sz w:val="24"/>
          <w:szCs w:val="24"/>
        </w:rPr>
      </w:pPr>
      <w:r w:rsidRPr="690D41A3">
        <w:rPr>
          <w:rStyle w:val="BoldPurple"/>
          <w:sz w:val="24"/>
          <w:szCs w:val="24"/>
        </w:rPr>
        <w:t>Our primary aim was to let people know how they could share their stories with the Commission and how they could receive supports to do so.</w:t>
      </w:r>
    </w:p>
    <w:p w14:paraId="55F0A419" w14:textId="078CCA3A" w:rsidR="00D8048D" w:rsidRDefault="00D8048D" w:rsidP="690D41A3">
      <w:pPr>
        <w:pBdr>
          <w:top w:val="single" w:sz="4" w:space="1" w:color="A9218E" w:themeColor="accent2"/>
          <w:left w:val="single" w:sz="4" w:space="4" w:color="A9218E" w:themeColor="accent2"/>
          <w:bottom w:val="single" w:sz="4" w:space="1" w:color="A9218E" w:themeColor="accent2"/>
          <w:right w:val="single" w:sz="4" w:space="4" w:color="A9218E" w:themeColor="accent2"/>
        </w:pBdr>
        <w:rPr>
          <w:sz w:val="24"/>
          <w:szCs w:val="24"/>
        </w:rPr>
      </w:pPr>
      <w:r w:rsidRPr="690D41A3">
        <w:rPr>
          <w:sz w:val="24"/>
          <w:szCs w:val="24"/>
        </w:rPr>
        <w:t xml:space="preserve">Presentations from the Disability Royal Commission and Your Story Disability Legal Support Service were informative. A standout aspect of the forum was a </w:t>
      </w:r>
      <w:proofErr w:type="gramStart"/>
      <w:r w:rsidRPr="690D41A3">
        <w:rPr>
          <w:sz w:val="24"/>
          <w:szCs w:val="24"/>
        </w:rPr>
        <w:t>question and answer</w:t>
      </w:r>
      <w:proofErr w:type="gramEnd"/>
      <w:r w:rsidRPr="690D41A3">
        <w:rPr>
          <w:sz w:val="24"/>
          <w:szCs w:val="24"/>
        </w:rPr>
        <w:t xml:space="preserve"> session. We received a high level of engagement via questions submitted in advance and in the webinar’s chat function.</w:t>
      </w:r>
    </w:p>
    <w:p w14:paraId="0BD4414E" w14:textId="77777777" w:rsidR="00D8048D" w:rsidRDefault="00D8048D" w:rsidP="690D41A3">
      <w:pPr>
        <w:pBdr>
          <w:top w:val="single" w:sz="4" w:space="1" w:color="A9218E" w:themeColor="accent2"/>
          <w:left w:val="single" w:sz="4" w:space="4" w:color="A9218E" w:themeColor="accent2"/>
          <w:bottom w:val="single" w:sz="4" w:space="1" w:color="A9218E" w:themeColor="accent2"/>
          <w:right w:val="single" w:sz="4" w:space="4" w:color="A9218E" w:themeColor="accent2"/>
        </w:pBdr>
        <w:rPr>
          <w:sz w:val="24"/>
          <w:szCs w:val="24"/>
        </w:rPr>
      </w:pPr>
      <w:r w:rsidRPr="690D41A3">
        <w:rPr>
          <w:sz w:val="24"/>
          <w:szCs w:val="24"/>
        </w:rPr>
        <w:t>Presenters provided clear, helpful answers to questions. This aspect of the webinar was documented and can be accessed via our website. Webinar feedback received about the forum indicates that attendees appreciated the opportunity to become familiar with the Commission, their areas of focus regarding women’s safety, and relevant support services.</w:t>
      </w:r>
    </w:p>
    <w:p w14:paraId="4691D52C" w14:textId="0A37F53E" w:rsidR="00D8048D" w:rsidRDefault="00D8048D" w:rsidP="690D41A3">
      <w:pPr>
        <w:pBdr>
          <w:top w:val="single" w:sz="4" w:space="1" w:color="A9218E" w:themeColor="accent2"/>
          <w:left w:val="single" w:sz="4" w:space="4" w:color="A9218E" w:themeColor="accent2"/>
          <w:bottom w:val="single" w:sz="4" w:space="1" w:color="A9218E" w:themeColor="accent2"/>
          <w:right w:val="single" w:sz="4" w:space="4" w:color="A9218E" w:themeColor="accent2"/>
        </w:pBdr>
        <w:rPr>
          <w:sz w:val="24"/>
          <w:szCs w:val="24"/>
        </w:rPr>
      </w:pPr>
      <w:r w:rsidRPr="690D41A3">
        <w:rPr>
          <w:sz w:val="24"/>
          <w:szCs w:val="24"/>
        </w:rPr>
        <w:t>Additionally, WDV’s practices around creating accessible webinars were acknowledged. It was also a positive opportunity to develop WDV’s links with the Commission and Your Story Disability Legal Support service.</w:t>
      </w:r>
    </w:p>
    <w:p w14:paraId="5240A58D" w14:textId="4E3F5390" w:rsidR="00A65A15" w:rsidRDefault="00A65A15" w:rsidP="002601A5">
      <w:pPr>
        <w:pBdr>
          <w:top w:val="single" w:sz="4" w:space="1" w:color="A9218E" w:themeColor="accent2"/>
          <w:left w:val="single" w:sz="4" w:space="4" w:color="A9218E" w:themeColor="accent2"/>
          <w:bottom w:val="single" w:sz="4" w:space="1" w:color="A9218E" w:themeColor="accent2"/>
          <w:right w:val="single" w:sz="4" w:space="4" w:color="A9218E" w:themeColor="accent2"/>
        </w:pBdr>
      </w:pPr>
      <w:r>
        <w:rPr>
          <w:noProof/>
          <w:lang w:eastAsia="en-AU"/>
        </w:rPr>
        <w:drawing>
          <wp:inline distT="0" distB="0" distL="0" distR="0" wp14:anchorId="7296382F" wp14:editId="35DAC6DD">
            <wp:extent cx="1091821" cy="859351"/>
            <wp:effectExtent l="0" t="0" r="0" b="0"/>
            <wp:docPr id="9" name="Picture 9" descr="Your Story (Disability Legal Sup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Your Story (Disability Legal Support) logo"/>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97391" cy="863735"/>
                    </a:xfrm>
                    <a:prstGeom prst="rect">
                      <a:avLst/>
                    </a:prstGeom>
                  </pic:spPr>
                </pic:pic>
              </a:graphicData>
            </a:graphic>
          </wp:inline>
        </w:drawing>
      </w:r>
    </w:p>
    <w:p w14:paraId="0CE17A1F" w14:textId="77777777" w:rsidR="00364369" w:rsidRDefault="00364369" w:rsidP="002601A5">
      <w:pPr>
        <w:sectPr w:rsidR="00364369" w:rsidSect="00150A9B">
          <w:type w:val="continuous"/>
          <w:pgSz w:w="11906" w:h="16838" w:code="9"/>
          <w:pgMar w:top="992" w:right="851" w:bottom="992" w:left="851" w:header="567" w:footer="567" w:gutter="0"/>
          <w:cols w:space="284"/>
          <w:docGrid w:linePitch="360"/>
        </w:sectPr>
      </w:pPr>
    </w:p>
    <w:p w14:paraId="061A8C12" w14:textId="77777777" w:rsidR="002315DD" w:rsidRDefault="002315DD">
      <w:pPr>
        <w:spacing w:line="276" w:lineRule="auto"/>
        <w:rPr>
          <w:b/>
          <w:color w:val="A9218E" w:themeColor="accent2"/>
          <w:sz w:val="28"/>
          <w:szCs w:val="24"/>
        </w:rPr>
      </w:pPr>
      <w:r>
        <w:br w:type="page"/>
      </w:r>
    </w:p>
    <w:p w14:paraId="0A07E4C6" w14:textId="1F010B48" w:rsidR="004D45A2" w:rsidRDefault="004D45A2" w:rsidP="004D45A2">
      <w:pPr>
        <w:pStyle w:val="Highlight-Pink"/>
      </w:pPr>
      <w:r>
        <w:lastRenderedPageBreak/>
        <w:t>Goal 3: Facts and Figures</w:t>
      </w:r>
    </w:p>
    <w:p w14:paraId="6BE038A6" w14:textId="77777777" w:rsidR="004D45A2" w:rsidRDefault="004D45A2" w:rsidP="004D45A2">
      <w:pPr>
        <w:pStyle w:val="Heading4"/>
      </w:pPr>
      <w:r>
        <w:t>POLICY</w:t>
      </w:r>
    </w:p>
    <w:p w14:paraId="3F4D6AD3" w14:textId="635D74EF" w:rsidR="004D45A2" w:rsidRDefault="004D45A2" w:rsidP="690D41A3">
      <w:pPr>
        <w:rPr>
          <w:sz w:val="24"/>
          <w:szCs w:val="24"/>
        </w:rPr>
      </w:pPr>
      <w:r w:rsidRPr="690D41A3">
        <w:rPr>
          <w:sz w:val="24"/>
          <w:szCs w:val="24"/>
        </w:rPr>
        <w:t>Representation on over 30 committees.</w:t>
      </w:r>
    </w:p>
    <w:p w14:paraId="1B311837" w14:textId="782AF50C" w:rsidR="004D45A2" w:rsidRDefault="004D45A2" w:rsidP="690D41A3">
      <w:pPr>
        <w:rPr>
          <w:sz w:val="24"/>
          <w:szCs w:val="24"/>
        </w:rPr>
      </w:pPr>
      <w:r w:rsidRPr="690D41A3">
        <w:rPr>
          <w:sz w:val="24"/>
          <w:szCs w:val="24"/>
        </w:rPr>
        <w:t xml:space="preserve">Consultations and advice given on at least 18 occasions, lobbying Government on a range of issues, specifically: </w:t>
      </w:r>
    </w:p>
    <w:p w14:paraId="457AC58E" w14:textId="77777777" w:rsidR="004D45A2" w:rsidRDefault="004D45A2" w:rsidP="004D45A2">
      <w:pPr>
        <w:pStyle w:val="ListBullet"/>
        <w:rPr>
          <w:sz w:val="24"/>
        </w:rPr>
      </w:pPr>
      <w:r w:rsidRPr="690D41A3">
        <w:rPr>
          <w:sz w:val="24"/>
        </w:rPr>
        <w:t xml:space="preserve">Successfully lobbying for the extension of the Safe Steps Disability Family Violence Crisis Fund through the State Budget. </w:t>
      </w:r>
    </w:p>
    <w:p w14:paraId="11F9AEAF" w14:textId="77777777" w:rsidR="004D45A2" w:rsidRDefault="004D45A2" w:rsidP="004D45A2">
      <w:pPr>
        <w:pStyle w:val="ListBullet"/>
        <w:rPr>
          <w:sz w:val="24"/>
        </w:rPr>
      </w:pPr>
      <w:r w:rsidRPr="690D41A3">
        <w:rPr>
          <w:sz w:val="24"/>
        </w:rPr>
        <w:t>Implementation of three Disability Family Violence Practice Leaders</w:t>
      </w:r>
      <w:proofErr w:type="gramStart"/>
      <w:r w:rsidRPr="690D41A3">
        <w:rPr>
          <w:sz w:val="24"/>
        </w:rPr>
        <w:t xml:space="preserve">.  </w:t>
      </w:r>
      <w:proofErr w:type="gramEnd"/>
    </w:p>
    <w:p w14:paraId="32AF17BD" w14:textId="77777777" w:rsidR="004D45A2" w:rsidRDefault="004D45A2" w:rsidP="004D45A2">
      <w:pPr>
        <w:pStyle w:val="ListBullet"/>
        <w:rPr>
          <w:sz w:val="24"/>
        </w:rPr>
      </w:pPr>
      <w:r w:rsidRPr="690D41A3">
        <w:rPr>
          <w:sz w:val="24"/>
        </w:rPr>
        <w:t>Development of practice principles and guidelines for prevention of violence against women with disabilities in partnership with Our Watch</w:t>
      </w:r>
      <w:proofErr w:type="gramStart"/>
      <w:r w:rsidRPr="690D41A3">
        <w:rPr>
          <w:sz w:val="24"/>
        </w:rPr>
        <w:t xml:space="preserve">.  </w:t>
      </w:r>
      <w:proofErr w:type="gramEnd"/>
    </w:p>
    <w:p w14:paraId="022E6EED" w14:textId="77777777" w:rsidR="004D45A2" w:rsidRDefault="004D45A2" w:rsidP="004D45A2">
      <w:pPr>
        <w:pStyle w:val="ListBullet"/>
        <w:rPr>
          <w:sz w:val="24"/>
        </w:rPr>
      </w:pPr>
      <w:r w:rsidRPr="690D41A3">
        <w:rPr>
          <w:sz w:val="24"/>
        </w:rPr>
        <w:t xml:space="preserve">Partnering with DV Vic/DVRC in the development of resources for family violence workers such as NDIS training and a webinar on risk assessment. </w:t>
      </w:r>
    </w:p>
    <w:p w14:paraId="361CB553" w14:textId="63883727" w:rsidR="00F41C81" w:rsidRDefault="004D45A2" w:rsidP="00F41C81">
      <w:pPr>
        <w:pStyle w:val="ListBullet"/>
        <w:rPr>
          <w:sz w:val="24"/>
        </w:rPr>
      </w:pPr>
      <w:r w:rsidRPr="690D41A3">
        <w:rPr>
          <w:sz w:val="24"/>
        </w:rPr>
        <w:t>A written submission to the Disability Royal Commission.</w:t>
      </w:r>
    </w:p>
    <w:p w14:paraId="2FAB3599" w14:textId="572F1FC5" w:rsidR="004D45A2" w:rsidRDefault="004D45A2" w:rsidP="690D41A3">
      <w:pPr>
        <w:pStyle w:val="Heading4"/>
        <w:rPr>
          <w:sz w:val="24"/>
        </w:rPr>
      </w:pPr>
      <w:r w:rsidRPr="690D41A3">
        <w:rPr>
          <w:sz w:val="24"/>
        </w:rPr>
        <w:t>EVENTS</w:t>
      </w:r>
    </w:p>
    <w:p w14:paraId="2AAF53BE" w14:textId="1ED97B44" w:rsidR="00F41C81" w:rsidRPr="00F41C81" w:rsidRDefault="004D45A2" w:rsidP="690D41A3">
      <w:pPr>
        <w:rPr>
          <w:sz w:val="24"/>
          <w:szCs w:val="24"/>
        </w:rPr>
      </w:pPr>
      <w:r w:rsidRPr="690D41A3">
        <w:rPr>
          <w:sz w:val="24"/>
          <w:szCs w:val="24"/>
        </w:rPr>
        <w:t>Delivered by W</w:t>
      </w:r>
      <w:r w:rsidR="002C02BA" w:rsidRPr="690D41A3">
        <w:rPr>
          <w:sz w:val="24"/>
          <w:szCs w:val="24"/>
        </w:rPr>
        <w:t xml:space="preserve">orkforce </w:t>
      </w:r>
      <w:r w:rsidRPr="690D41A3">
        <w:rPr>
          <w:sz w:val="24"/>
          <w:szCs w:val="24"/>
        </w:rPr>
        <w:t>D</w:t>
      </w:r>
      <w:r w:rsidR="002C02BA" w:rsidRPr="690D41A3">
        <w:rPr>
          <w:sz w:val="24"/>
          <w:szCs w:val="24"/>
        </w:rPr>
        <w:t>evelopment</w:t>
      </w:r>
      <w:r w:rsidRPr="690D41A3">
        <w:rPr>
          <w:sz w:val="24"/>
          <w:szCs w:val="24"/>
        </w:rPr>
        <w:t xml:space="preserve"> as a whole, includes launches, awareness building and promotion.</w:t>
      </w:r>
    </w:p>
    <w:p w14:paraId="225CA9A1" w14:textId="3A7C2826" w:rsidR="004D45A2" w:rsidRDefault="004D45A2" w:rsidP="690D41A3">
      <w:pPr>
        <w:rPr>
          <w:sz w:val="24"/>
          <w:szCs w:val="24"/>
        </w:rPr>
      </w:pPr>
      <w:r w:rsidRPr="690D41A3">
        <w:rPr>
          <w:sz w:val="24"/>
          <w:szCs w:val="24"/>
        </w:rPr>
        <w:t>Social media violence prevention content launch – September 2020.</w:t>
      </w:r>
    </w:p>
    <w:p w14:paraId="6A5E8268" w14:textId="086920C1" w:rsidR="004D45A2" w:rsidRDefault="004D45A2" w:rsidP="690D41A3">
      <w:pPr>
        <w:rPr>
          <w:sz w:val="24"/>
          <w:szCs w:val="24"/>
        </w:rPr>
      </w:pPr>
      <w:r w:rsidRPr="690D41A3">
        <w:rPr>
          <w:sz w:val="24"/>
          <w:szCs w:val="24"/>
        </w:rPr>
        <w:t>16 Days of Action against Gender Based Violence webinar &amp; resource launch. ‘Respect is…’ resource developed. This included:</w:t>
      </w:r>
    </w:p>
    <w:p w14:paraId="46BDCA84" w14:textId="77777777" w:rsidR="004D45A2" w:rsidRDefault="004D45A2" w:rsidP="004D45A2">
      <w:pPr>
        <w:pStyle w:val="ListBullet"/>
        <w:rPr>
          <w:sz w:val="24"/>
        </w:rPr>
      </w:pPr>
      <w:r w:rsidRPr="690D41A3">
        <w:rPr>
          <w:sz w:val="24"/>
        </w:rPr>
        <w:t>16 statements about what respect looks like from the perspective of women with disabilities.</w:t>
      </w:r>
    </w:p>
    <w:p w14:paraId="7A0EF1A8" w14:textId="77777777" w:rsidR="004D45A2" w:rsidRDefault="004D45A2" w:rsidP="004D45A2">
      <w:pPr>
        <w:pStyle w:val="ListBullet"/>
        <w:rPr>
          <w:sz w:val="24"/>
        </w:rPr>
      </w:pPr>
      <w:r w:rsidRPr="690D41A3">
        <w:rPr>
          <w:sz w:val="24"/>
        </w:rPr>
        <w:t>143 attendees from 74 organisations.</w:t>
      </w:r>
    </w:p>
    <w:p w14:paraId="4E504CB8" w14:textId="0BED5BCC" w:rsidR="004D45A2" w:rsidRDefault="004D45A2" w:rsidP="690D41A3">
      <w:pPr>
        <w:rPr>
          <w:sz w:val="24"/>
          <w:szCs w:val="24"/>
        </w:rPr>
      </w:pPr>
      <w:r w:rsidRPr="690D41A3">
        <w:rPr>
          <w:sz w:val="24"/>
          <w:szCs w:val="24"/>
        </w:rPr>
        <w:t>170 attendees at International Women’s Day: Prevention of Violence against Women with Disabilities resources.</w:t>
      </w:r>
    </w:p>
    <w:p w14:paraId="2D3B91A3" w14:textId="2764914E" w:rsidR="004D45A2" w:rsidRDefault="004D45A2" w:rsidP="690D41A3">
      <w:pPr>
        <w:rPr>
          <w:sz w:val="24"/>
          <w:szCs w:val="24"/>
        </w:rPr>
      </w:pPr>
      <w:r w:rsidRPr="690D41A3">
        <w:rPr>
          <w:sz w:val="24"/>
          <w:szCs w:val="24"/>
        </w:rPr>
        <w:t xml:space="preserve">Equity and Inclusion: Workforce Development Resources Launch: 80 attendees. </w:t>
      </w:r>
    </w:p>
    <w:p w14:paraId="2D03EE1D" w14:textId="2B4B8B1C" w:rsidR="004D45A2" w:rsidRDefault="004D45A2" w:rsidP="690D41A3">
      <w:pPr>
        <w:pStyle w:val="Heading4"/>
        <w:rPr>
          <w:sz w:val="24"/>
        </w:rPr>
      </w:pPr>
      <w:r w:rsidRPr="690D41A3">
        <w:rPr>
          <w:sz w:val="24"/>
        </w:rPr>
        <w:t>COMMUNITY OF PRACTICE</w:t>
      </w:r>
    </w:p>
    <w:p w14:paraId="0AD29353" w14:textId="77777777" w:rsidR="004D45A2" w:rsidRDefault="004D45A2" w:rsidP="690D41A3">
      <w:pPr>
        <w:rPr>
          <w:sz w:val="24"/>
          <w:szCs w:val="24"/>
        </w:rPr>
      </w:pPr>
      <w:r w:rsidRPr="690D41A3">
        <w:rPr>
          <w:sz w:val="24"/>
          <w:szCs w:val="24"/>
        </w:rPr>
        <w:t xml:space="preserve">Designed, </w:t>
      </w:r>
      <w:proofErr w:type="gramStart"/>
      <w:r w:rsidRPr="690D41A3">
        <w:rPr>
          <w:sz w:val="24"/>
          <w:szCs w:val="24"/>
        </w:rPr>
        <w:t>developed</w:t>
      </w:r>
      <w:proofErr w:type="gramEnd"/>
      <w:r w:rsidRPr="690D41A3">
        <w:rPr>
          <w:sz w:val="24"/>
          <w:szCs w:val="24"/>
        </w:rPr>
        <w:t xml:space="preserve"> and delivered: Community of Practice on Prevention, Disability and Gender Equity with 27 members joining from key disability, gender equity and prevention organisations – workforce development.</w:t>
      </w:r>
    </w:p>
    <w:p w14:paraId="4FDF64F9" w14:textId="56F57ECA" w:rsidR="004D45A2" w:rsidRDefault="004D45A2" w:rsidP="690D41A3">
      <w:pPr>
        <w:pStyle w:val="Heading4"/>
        <w:rPr>
          <w:sz w:val="24"/>
        </w:rPr>
      </w:pPr>
      <w:r w:rsidRPr="690D41A3">
        <w:rPr>
          <w:sz w:val="24"/>
        </w:rPr>
        <w:t>CONSULTATION</w:t>
      </w:r>
    </w:p>
    <w:p w14:paraId="2D81FE63" w14:textId="036871B8" w:rsidR="004D45A2" w:rsidRDefault="004D45A2" w:rsidP="690D41A3">
      <w:pPr>
        <w:rPr>
          <w:sz w:val="24"/>
          <w:szCs w:val="24"/>
        </w:rPr>
      </w:pPr>
      <w:r w:rsidRPr="690D41A3">
        <w:rPr>
          <w:sz w:val="24"/>
          <w:szCs w:val="24"/>
        </w:rPr>
        <w:t>16 Experts by Experience</w:t>
      </w:r>
      <w:r w:rsidR="00F41C81" w:rsidRPr="690D41A3">
        <w:rPr>
          <w:sz w:val="24"/>
          <w:szCs w:val="24"/>
        </w:rPr>
        <w:t xml:space="preserve"> </w:t>
      </w:r>
      <w:r w:rsidRPr="690D41A3">
        <w:rPr>
          <w:sz w:val="24"/>
          <w:szCs w:val="24"/>
        </w:rPr>
        <w:t>(</w:t>
      </w:r>
      <w:proofErr w:type="spellStart"/>
      <w:r w:rsidRPr="690D41A3">
        <w:rPr>
          <w:sz w:val="24"/>
          <w:szCs w:val="24"/>
        </w:rPr>
        <w:t>EbE</w:t>
      </w:r>
      <w:proofErr w:type="spellEnd"/>
      <w:r w:rsidRPr="690D41A3">
        <w:rPr>
          <w:sz w:val="24"/>
          <w:szCs w:val="24"/>
        </w:rPr>
        <w:t xml:space="preserve">) Prevention Consultation sessions. 11 women employed to deliver this program. </w:t>
      </w:r>
    </w:p>
    <w:p w14:paraId="434C8E38" w14:textId="77777777" w:rsidR="004D45A2" w:rsidRDefault="004D45A2" w:rsidP="690D41A3">
      <w:pPr>
        <w:rPr>
          <w:sz w:val="24"/>
          <w:szCs w:val="24"/>
        </w:rPr>
      </w:pPr>
      <w:r w:rsidRPr="690D41A3">
        <w:rPr>
          <w:sz w:val="24"/>
          <w:szCs w:val="24"/>
        </w:rPr>
        <w:t xml:space="preserve">3 general Violence Prevention consultations. </w:t>
      </w:r>
    </w:p>
    <w:p w14:paraId="65FF6B9C" w14:textId="7FC46DF9" w:rsidR="004D45A2" w:rsidRDefault="004D45A2" w:rsidP="690D41A3">
      <w:pPr>
        <w:pStyle w:val="Heading4"/>
        <w:rPr>
          <w:sz w:val="24"/>
        </w:rPr>
      </w:pPr>
      <w:r w:rsidRPr="690D41A3">
        <w:rPr>
          <w:sz w:val="24"/>
        </w:rPr>
        <w:t>RESOURCES DEVELOPED</w:t>
      </w:r>
    </w:p>
    <w:p w14:paraId="12D01A1D" w14:textId="77777777" w:rsidR="004D45A2" w:rsidRDefault="004D45A2" w:rsidP="690D41A3">
      <w:pPr>
        <w:rPr>
          <w:sz w:val="24"/>
          <w:szCs w:val="24"/>
        </w:rPr>
      </w:pPr>
      <w:r w:rsidRPr="690D41A3">
        <w:rPr>
          <w:sz w:val="24"/>
          <w:szCs w:val="24"/>
        </w:rPr>
        <w:t xml:space="preserve">downloaded and viewed over 1,492 times. </w:t>
      </w:r>
    </w:p>
    <w:p w14:paraId="47FE9ADB" w14:textId="4C9EDB2F" w:rsidR="004D45A2" w:rsidRDefault="004D45A2" w:rsidP="690D41A3">
      <w:pPr>
        <w:rPr>
          <w:sz w:val="24"/>
          <w:szCs w:val="24"/>
        </w:rPr>
      </w:pPr>
      <w:r w:rsidRPr="690D41A3">
        <w:rPr>
          <w:sz w:val="24"/>
          <w:szCs w:val="24"/>
        </w:rPr>
        <w:t xml:space="preserve">4 guides developed with the National Disability Services (NDS) on Prevention, Early Intervention and Response to violence against women with disabilities. </w:t>
      </w:r>
    </w:p>
    <w:p w14:paraId="77FBDE88" w14:textId="0C5F51B6" w:rsidR="004D45A2" w:rsidRDefault="004D45A2" w:rsidP="690D41A3">
      <w:pPr>
        <w:rPr>
          <w:sz w:val="24"/>
          <w:szCs w:val="24"/>
        </w:rPr>
      </w:pPr>
      <w:r w:rsidRPr="690D41A3">
        <w:rPr>
          <w:sz w:val="24"/>
          <w:szCs w:val="24"/>
        </w:rPr>
        <w:lastRenderedPageBreak/>
        <w:t>A resource on 10 actions to provide gender and disability equity. And a resource: Working Towards a Gender and Disability Equitable Organisation Guide that accompanies the 10 Actions resource.</w:t>
      </w:r>
    </w:p>
    <w:p w14:paraId="31DF199D" w14:textId="14C0F614" w:rsidR="004D45A2" w:rsidRDefault="004D45A2" w:rsidP="690D41A3">
      <w:pPr>
        <w:rPr>
          <w:sz w:val="24"/>
          <w:szCs w:val="24"/>
        </w:rPr>
      </w:pPr>
      <w:r w:rsidRPr="690D41A3">
        <w:rPr>
          <w:sz w:val="24"/>
          <w:szCs w:val="24"/>
        </w:rPr>
        <w:t>9 posters on Violence Prevention and resources on the drivers of violence and essential actions. Intersectional practice resource.</w:t>
      </w:r>
    </w:p>
    <w:p w14:paraId="5FE65F55" w14:textId="2A90EC2B" w:rsidR="004D45A2" w:rsidRDefault="004D45A2" w:rsidP="690D41A3">
      <w:pPr>
        <w:rPr>
          <w:sz w:val="24"/>
          <w:szCs w:val="24"/>
        </w:rPr>
      </w:pPr>
      <w:r w:rsidRPr="690D41A3">
        <w:rPr>
          <w:sz w:val="24"/>
          <w:szCs w:val="24"/>
        </w:rPr>
        <w:t>6 videos discussing drivers of violence and essential actions developed.</w:t>
      </w:r>
    </w:p>
    <w:p w14:paraId="7DE2DDB4" w14:textId="4FE54B91" w:rsidR="004D45A2" w:rsidRDefault="004D45A2" w:rsidP="690D41A3">
      <w:pPr>
        <w:rPr>
          <w:sz w:val="24"/>
          <w:szCs w:val="24"/>
        </w:rPr>
      </w:pPr>
      <w:r w:rsidRPr="690D41A3">
        <w:rPr>
          <w:sz w:val="24"/>
          <w:szCs w:val="24"/>
        </w:rPr>
        <w:t>Redeveloped statistics infographic on violence against women with disabilities.</w:t>
      </w:r>
    </w:p>
    <w:p w14:paraId="76496F0A" w14:textId="131F8FE4" w:rsidR="004D45A2" w:rsidRDefault="004D45A2" w:rsidP="690D41A3">
      <w:pPr>
        <w:rPr>
          <w:sz w:val="24"/>
          <w:szCs w:val="24"/>
        </w:rPr>
      </w:pPr>
      <w:r w:rsidRPr="690D41A3">
        <w:rPr>
          <w:sz w:val="24"/>
          <w:szCs w:val="24"/>
        </w:rPr>
        <w:t xml:space="preserve">One animated video on </w:t>
      </w:r>
      <w:hyperlink r:id="rId30">
        <w:r w:rsidRPr="690D41A3">
          <w:rPr>
            <w:rStyle w:val="Hyperlink"/>
            <w:sz w:val="24"/>
            <w:szCs w:val="24"/>
          </w:rPr>
          <w:t>Understanding Disability</w:t>
        </w:r>
      </w:hyperlink>
      <w:r w:rsidRPr="690D41A3">
        <w:rPr>
          <w:sz w:val="24"/>
          <w:szCs w:val="24"/>
        </w:rPr>
        <w:t xml:space="preserve"> introducing viewers to 6 keystones for understanding disability and placing a gendered lens over previous models of disability used within disability theory.</w:t>
      </w:r>
    </w:p>
    <w:p w14:paraId="3F756183" w14:textId="3CDFE1DD" w:rsidR="004D45A2" w:rsidRDefault="004D45A2" w:rsidP="690D41A3">
      <w:pPr>
        <w:rPr>
          <w:sz w:val="24"/>
          <w:szCs w:val="24"/>
        </w:rPr>
      </w:pPr>
      <w:r w:rsidRPr="690D41A3">
        <w:rPr>
          <w:sz w:val="24"/>
          <w:szCs w:val="24"/>
        </w:rPr>
        <w:t>Our Right to Safety and Respect online Braille version accessed over 50 times.</w:t>
      </w:r>
    </w:p>
    <w:p w14:paraId="152AAFBD" w14:textId="5A9391EA" w:rsidR="004D45A2" w:rsidRPr="000026FA" w:rsidRDefault="00FF51EA" w:rsidP="690D41A3">
      <w:pPr>
        <w:rPr>
          <w:rStyle w:val="Strong"/>
          <w:b w:val="0"/>
          <w:bCs w:val="0"/>
          <w:sz w:val="24"/>
          <w:szCs w:val="24"/>
        </w:rPr>
      </w:pPr>
      <w:hyperlink r:id="rId31">
        <w:proofErr w:type="spellStart"/>
        <w:r w:rsidR="004D45A2" w:rsidRPr="690D41A3">
          <w:rPr>
            <w:rStyle w:val="Hyperlink"/>
            <w:b/>
            <w:bCs/>
            <w:sz w:val="24"/>
            <w:szCs w:val="24"/>
          </w:rPr>
          <w:t>AcceSex</w:t>
        </w:r>
        <w:proofErr w:type="spellEnd"/>
        <w:r w:rsidR="004D45A2" w:rsidRPr="690D41A3">
          <w:rPr>
            <w:rStyle w:val="Hyperlink"/>
            <w:b/>
            <w:bCs/>
            <w:sz w:val="24"/>
            <w:szCs w:val="24"/>
          </w:rPr>
          <w:t xml:space="preserve"> Project</w:t>
        </w:r>
      </w:hyperlink>
    </w:p>
    <w:p w14:paraId="21A4B4A3" w14:textId="77777777" w:rsidR="004D45A2" w:rsidRDefault="004D45A2" w:rsidP="690D41A3">
      <w:pPr>
        <w:rPr>
          <w:sz w:val="24"/>
          <w:szCs w:val="24"/>
        </w:rPr>
      </w:pPr>
      <w:r w:rsidRPr="690D41A3">
        <w:rPr>
          <w:sz w:val="24"/>
          <w:szCs w:val="24"/>
        </w:rPr>
        <w:t>3 training workshops delivered to partner organisations.</w:t>
      </w:r>
    </w:p>
    <w:p w14:paraId="2C478BB3" w14:textId="1E8732E5" w:rsidR="004D45A2" w:rsidRDefault="004D45A2" w:rsidP="690D41A3">
      <w:pPr>
        <w:rPr>
          <w:sz w:val="24"/>
          <w:szCs w:val="24"/>
        </w:rPr>
      </w:pPr>
      <w:r w:rsidRPr="690D41A3">
        <w:rPr>
          <w:sz w:val="24"/>
          <w:szCs w:val="24"/>
        </w:rPr>
        <w:t>Post session evaluation revealed that 90% of participants reported increased knowledge, skills, awareness, confidence.</w:t>
      </w:r>
    </w:p>
    <w:p w14:paraId="4FC729B1" w14:textId="5FC69B2D" w:rsidR="004D45A2" w:rsidRDefault="004D45A2" w:rsidP="690D41A3">
      <w:pPr>
        <w:rPr>
          <w:sz w:val="24"/>
          <w:szCs w:val="24"/>
        </w:rPr>
      </w:pPr>
      <w:r w:rsidRPr="690D41A3">
        <w:rPr>
          <w:sz w:val="24"/>
          <w:szCs w:val="24"/>
        </w:rPr>
        <w:t>Developed and delivered a training package for phone or telehealth</w:t>
      </w:r>
      <w:r w:rsidR="00F41C81" w:rsidRPr="690D41A3">
        <w:rPr>
          <w:sz w:val="24"/>
          <w:szCs w:val="24"/>
        </w:rPr>
        <w:t>-</w:t>
      </w:r>
      <w:r w:rsidRPr="690D41A3">
        <w:rPr>
          <w:sz w:val="24"/>
          <w:szCs w:val="24"/>
        </w:rPr>
        <w:t>based services with 1800 My Options and Royal Women’s telehealth teams, for future wider dissemination.</w:t>
      </w:r>
    </w:p>
    <w:p w14:paraId="1740E55A" w14:textId="73E8B26D" w:rsidR="004D45A2" w:rsidRDefault="004D45A2" w:rsidP="690D41A3">
      <w:pPr>
        <w:rPr>
          <w:sz w:val="24"/>
          <w:szCs w:val="24"/>
        </w:rPr>
      </w:pPr>
      <w:r w:rsidRPr="690D41A3">
        <w:rPr>
          <w:sz w:val="24"/>
          <w:szCs w:val="24"/>
        </w:rPr>
        <w:t xml:space="preserve">Developed resources (fact sheets, FAQs, social media tiles/text for continued regular dissemination via WDV’s social media and other communication channels). </w:t>
      </w:r>
    </w:p>
    <w:p w14:paraId="0AE6EC73" w14:textId="4111E2F4" w:rsidR="004D45A2" w:rsidRDefault="004D45A2" w:rsidP="690D41A3">
      <w:pPr>
        <w:rPr>
          <w:sz w:val="24"/>
          <w:szCs w:val="24"/>
        </w:rPr>
      </w:pPr>
      <w:r w:rsidRPr="690D41A3">
        <w:rPr>
          <w:sz w:val="24"/>
          <w:szCs w:val="24"/>
        </w:rPr>
        <w:t>“Margins to the Mainstream: Preventing Violence Against Women with Disabilities TFER Community of Practice” delivered to</w:t>
      </w:r>
      <w:r w:rsidR="004B5B56" w:rsidRPr="690D41A3">
        <w:rPr>
          <w:sz w:val="24"/>
          <w:szCs w:val="24"/>
        </w:rPr>
        <w:t xml:space="preserve"> </w:t>
      </w:r>
      <w:r w:rsidRPr="690D41A3">
        <w:rPr>
          <w:sz w:val="24"/>
          <w:szCs w:val="24"/>
        </w:rPr>
        <w:t>16 participants from 8 organisations.</w:t>
      </w:r>
    </w:p>
    <w:p w14:paraId="5809B1D8" w14:textId="77777777" w:rsidR="004D45A2" w:rsidRDefault="004D45A2" w:rsidP="690D41A3">
      <w:pPr>
        <w:rPr>
          <w:sz w:val="24"/>
          <w:szCs w:val="24"/>
        </w:rPr>
      </w:pPr>
      <w:r w:rsidRPr="690D41A3">
        <w:rPr>
          <w:sz w:val="24"/>
          <w:szCs w:val="24"/>
        </w:rPr>
        <w:t>“Women’s Health Services Disability and Prevention of Violence Workshop” delivered to</w:t>
      </w:r>
    </w:p>
    <w:p w14:paraId="0B8E664A" w14:textId="663C7F15" w:rsidR="004D45A2" w:rsidRPr="000C447C" w:rsidRDefault="004D45A2" w:rsidP="00602D25">
      <w:pPr>
        <w:rPr>
          <w:sz w:val="24"/>
          <w:szCs w:val="24"/>
        </w:rPr>
      </w:pPr>
      <w:r w:rsidRPr="000C447C">
        <w:rPr>
          <w:sz w:val="24"/>
          <w:szCs w:val="24"/>
        </w:rPr>
        <w:t>20 participants from Women’s Health West and 11 partic</w:t>
      </w:r>
      <w:r w:rsidR="00F41C81" w:rsidRPr="000C447C">
        <w:rPr>
          <w:sz w:val="24"/>
          <w:szCs w:val="24"/>
        </w:rPr>
        <w:t>i</w:t>
      </w:r>
      <w:r w:rsidRPr="000C447C">
        <w:rPr>
          <w:sz w:val="24"/>
          <w:szCs w:val="24"/>
        </w:rPr>
        <w:t>pants from Women’s Health Grampians.</w:t>
      </w:r>
    </w:p>
    <w:p w14:paraId="70F6EDB6" w14:textId="0A7DE31C" w:rsidR="004D45A2" w:rsidRPr="000C447C" w:rsidRDefault="004D45A2" w:rsidP="004D45A2">
      <w:pPr>
        <w:rPr>
          <w:sz w:val="24"/>
          <w:szCs w:val="24"/>
        </w:rPr>
      </w:pPr>
      <w:r w:rsidRPr="000C447C">
        <w:rPr>
          <w:sz w:val="24"/>
          <w:szCs w:val="24"/>
        </w:rPr>
        <w:t>State</w:t>
      </w:r>
      <w:r w:rsidR="00F41C81" w:rsidRPr="000C447C">
        <w:rPr>
          <w:sz w:val="24"/>
          <w:szCs w:val="24"/>
        </w:rPr>
        <w:t>-</w:t>
      </w:r>
      <w:r w:rsidRPr="000C447C">
        <w:rPr>
          <w:sz w:val="24"/>
          <w:szCs w:val="24"/>
        </w:rPr>
        <w:t>wide WHS PVAW Capacity Building Forum:</w:t>
      </w:r>
    </w:p>
    <w:p w14:paraId="33D37F0F" w14:textId="03FB4048" w:rsidR="004D45A2" w:rsidRPr="000C447C" w:rsidRDefault="004D45A2" w:rsidP="004D45A2">
      <w:pPr>
        <w:rPr>
          <w:sz w:val="24"/>
          <w:szCs w:val="24"/>
        </w:rPr>
      </w:pPr>
      <w:r w:rsidRPr="000C447C">
        <w:rPr>
          <w:sz w:val="24"/>
          <w:szCs w:val="24"/>
        </w:rPr>
        <w:t>29 registrations from 24 organisations with 1 training forum delivered.</w:t>
      </w:r>
    </w:p>
    <w:p w14:paraId="40729EB7" w14:textId="39E43DAB" w:rsidR="004D45A2" w:rsidRPr="000C447C" w:rsidRDefault="004D45A2" w:rsidP="00602D25">
      <w:pPr>
        <w:rPr>
          <w:sz w:val="24"/>
          <w:szCs w:val="24"/>
        </w:rPr>
      </w:pPr>
      <w:r w:rsidRPr="000C447C">
        <w:rPr>
          <w:sz w:val="24"/>
          <w:szCs w:val="24"/>
        </w:rPr>
        <w:t>11 participants in the Project Advisory Group.</w:t>
      </w:r>
    </w:p>
    <w:p w14:paraId="0DCE16F2" w14:textId="4EA9970C" w:rsidR="004D45A2" w:rsidRPr="000C447C" w:rsidRDefault="004D45A2" w:rsidP="004D45A2">
      <w:pPr>
        <w:rPr>
          <w:sz w:val="24"/>
          <w:szCs w:val="24"/>
        </w:rPr>
      </w:pPr>
      <w:r w:rsidRPr="000C447C">
        <w:rPr>
          <w:sz w:val="24"/>
          <w:szCs w:val="24"/>
        </w:rPr>
        <w:t>The Gender and Disability Program new resources:</w:t>
      </w:r>
    </w:p>
    <w:p w14:paraId="537AC513" w14:textId="77777777" w:rsidR="002315DD" w:rsidRDefault="004D45A2" w:rsidP="002315DD">
      <w:pPr>
        <w:pStyle w:val="ListBullet"/>
        <w:rPr>
          <w:sz w:val="24"/>
        </w:rPr>
      </w:pPr>
      <w:r w:rsidRPr="000C447C">
        <w:rPr>
          <w:sz w:val="24"/>
        </w:rPr>
        <w:t>Primary Prevention of Violence Against Women with Disabilities video resource</w:t>
      </w:r>
      <w:r w:rsidR="00602D25" w:rsidRPr="000C447C">
        <w:rPr>
          <w:sz w:val="24"/>
        </w:rPr>
        <w:t xml:space="preserve">. </w:t>
      </w:r>
    </w:p>
    <w:p w14:paraId="7868591E" w14:textId="57D2F7D7" w:rsidR="004D45A2" w:rsidRPr="002315DD" w:rsidRDefault="004D45A2" w:rsidP="002315DD">
      <w:pPr>
        <w:pStyle w:val="ListBullet"/>
        <w:rPr>
          <w:sz w:val="24"/>
        </w:rPr>
      </w:pPr>
      <w:r w:rsidRPr="002315DD">
        <w:rPr>
          <w:sz w:val="24"/>
        </w:rPr>
        <w:t>2 micro-webinar series</w:t>
      </w:r>
      <w:r w:rsidR="00B365C8" w:rsidRPr="002315DD">
        <w:rPr>
          <w:sz w:val="24"/>
        </w:rPr>
        <w:t>.</w:t>
      </w:r>
    </w:p>
    <w:p w14:paraId="562FC08B" w14:textId="77777777" w:rsidR="004D45A2" w:rsidRPr="000C447C" w:rsidRDefault="004D45A2" w:rsidP="004D45A2">
      <w:pPr>
        <w:rPr>
          <w:rStyle w:val="Strong"/>
          <w:sz w:val="24"/>
          <w:szCs w:val="24"/>
        </w:rPr>
      </w:pPr>
      <w:r w:rsidRPr="000C447C">
        <w:rPr>
          <w:rStyle w:val="Strong"/>
          <w:sz w:val="24"/>
          <w:szCs w:val="24"/>
        </w:rPr>
        <w:t>Sexual and Reproductive Health Projects</w:t>
      </w:r>
    </w:p>
    <w:p w14:paraId="00FA7D06" w14:textId="77777777" w:rsidR="004D45A2" w:rsidRPr="000C447C" w:rsidRDefault="004D45A2" w:rsidP="004D45A2">
      <w:pPr>
        <w:rPr>
          <w:sz w:val="24"/>
          <w:szCs w:val="24"/>
        </w:rPr>
      </w:pPr>
      <w:r w:rsidRPr="000C447C">
        <w:rPr>
          <w:sz w:val="24"/>
          <w:szCs w:val="24"/>
        </w:rPr>
        <w:t xml:space="preserve">Presentation to Centre for Excellence in Rural Sexual Health (CERSH) training: </w:t>
      </w:r>
    </w:p>
    <w:p w14:paraId="00940687" w14:textId="3C6EF8E5" w:rsidR="004D45A2" w:rsidRPr="000C447C" w:rsidRDefault="004D45A2" w:rsidP="00203153">
      <w:pPr>
        <w:rPr>
          <w:sz w:val="24"/>
          <w:szCs w:val="24"/>
        </w:rPr>
      </w:pPr>
      <w:r w:rsidRPr="000C447C">
        <w:rPr>
          <w:sz w:val="24"/>
          <w:szCs w:val="24"/>
        </w:rPr>
        <w:t>97 registered, 50 attended.</w:t>
      </w:r>
    </w:p>
    <w:p w14:paraId="10346A71" w14:textId="084F4F79" w:rsidR="004D45A2" w:rsidRPr="000C447C" w:rsidRDefault="004D45A2" w:rsidP="00203153">
      <w:pPr>
        <w:rPr>
          <w:sz w:val="24"/>
          <w:szCs w:val="24"/>
        </w:rPr>
      </w:pPr>
      <w:r w:rsidRPr="000C447C">
        <w:rPr>
          <w:sz w:val="24"/>
          <w:szCs w:val="24"/>
        </w:rPr>
        <w:t xml:space="preserve">Consulted on the evaluation on the </w:t>
      </w:r>
      <w:proofErr w:type="spellStart"/>
      <w:r w:rsidRPr="000C447C">
        <w:rPr>
          <w:sz w:val="24"/>
          <w:szCs w:val="24"/>
        </w:rPr>
        <w:t>Diversexy</w:t>
      </w:r>
      <w:proofErr w:type="spellEnd"/>
      <w:r w:rsidRPr="000C447C">
        <w:rPr>
          <w:sz w:val="24"/>
          <w:szCs w:val="24"/>
        </w:rPr>
        <w:t xml:space="preserve"> project with </w:t>
      </w:r>
      <w:proofErr w:type="spellStart"/>
      <w:r w:rsidRPr="000C447C">
        <w:rPr>
          <w:sz w:val="24"/>
          <w:szCs w:val="24"/>
        </w:rPr>
        <w:t>CoHealth</w:t>
      </w:r>
      <w:proofErr w:type="spellEnd"/>
      <w:r w:rsidRPr="000C447C">
        <w:rPr>
          <w:sz w:val="24"/>
          <w:szCs w:val="24"/>
        </w:rPr>
        <w:t xml:space="preserve">. </w:t>
      </w:r>
    </w:p>
    <w:p w14:paraId="45E42474" w14:textId="7FE32D8F" w:rsidR="004D45A2" w:rsidRPr="002315DD" w:rsidRDefault="004D45A2" w:rsidP="002315DD">
      <w:pPr>
        <w:pStyle w:val="ListParagraph"/>
        <w:numPr>
          <w:ilvl w:val="0"/>
          <w:numId w:val="13"/>
        </w:numPr>
        <w:rPr>
          <w:sz w:val="24"/>
        </w:rPr>
      </w:pPr>
      <w:r w:rsidRPr="002315DD">
        <w:rPr>
          <w:sz w:val="24"/>
        </w:rPr>
        <w:t>webinar resources developed:</w:t>
      </w:r>
    </w:p>
    <w:p w14:paraId="5D498272" w14:textId="77777777" w:rsidR="002315DD" w:rsidRDefault="004D45A2" w:rsidP="002315DD">
      <w:pPr>
        <w:pStyle w:val="ListBullet"/>
        <w:rPr>
          <w:sz w:val="24"/>
        </w:rPr>
      </w:pPr>
      <w:r w:rsidRPr="000C447C">
        <w:rPr>
          <w:sz w:val="24"/>
        </w:rPr>
        <w:lastRenderedPageBreak/>
        <w:t>Sexual and reproductive health for women with disabilities fact sheet, and</w:t>
      </w:r>
      <w:r w:rsidR="00203153" w:rsidRPr="000C447C">
        <w:rPr>
          <w:sz w:val="24"/>
        </w:rPr>
        <w:t xml:space="preserve"> </w:t>
      </w:r>
    </w:p>
    <w:p w14:paraId="5C241A08" w14:textId="3DF4395D" w:rsidR="004D45A2" w:rsidRPr="002315DD" w:rsidRDefault="004D45A2" w:rsidP="002315DD">
      <w:pPr>
        <w:pStyle w:val="ListBullet"/>
        <w:rPr>
          <w:sz w:val="24"/>
        </w:rPr>
      </w:pPr>
      <w:r w:rsidRPr="002315DD">
        <w:rPr>
          <w:sz w:val="24"/>
        </w:rPr>
        <w:t>Reproductive coercion for women with disabilities.</w:t>
      </w:r>
    </w:p>
    <w:p w14:paraId="6D8F85B1" w14:textId="71D4F801" w:rsidR="00B95907" w:rsidRPr="000C447C" w:rsidRDefault="004D45A2" w:rsidP="00203153">
      <w:pPr>
        <w:rPr>
          <w:sz w:val="24"/>
          <w:szCs w:val="24"/>
        </w:rPr>
      </w:pPr>
      <w:r w:rsidRPr="000C447C">
        <w:rPr>
          <w:sz w:val="24"/>
          <w:szCs w:val="24"/>
        </w:rPr>
        <w:t xml:space="preserve">Consulted with Women’s Health in the </w:t>
      </w:r>
      <w:proofErr w:type="gramStart"/>
      <w:r w:rsidRPr="000C447C">
        <w:rPr>
          <w:sz w:val="24"/>
          <w:szCs w:val="24"/>
        </w:rPr>
        <w:t>South East</w:t>
      </w:r>
      <w:proofErr w:type="gramEnd"/>
      <w:r w:rsidRPr="000C447C">
        <w:rPr>
          <w:sz w:val="24"/>
          <w:szCs w:val="24"/>
        </w:rPr>
        <w:t xml:space="preserve"> on their Sexual and Reproductive Health Strategic Plan.</w:t>
      </w:r>
    </w:p>
    <w:p w14:paraId="4333095D" w14:textId="123B4011" w:rsidR="004D45A2" w:rsidRPr="000C447C" w:rsidRDefault="004D45A2" w:rsidP="00203153">
      <w:pPr>
        <w:rPr>
          <w:sz w:val="24"/>
          <w:szCs w:val="24"/>
        </w:rPr>
      </w:pPr>
      <w:r w:rsidRPr="000C447C">
        <w:rPr>
          <w:sz w:val="24"/>
          <w:szCs w:val="24"/>
        </w:rPr>
        <w:t>Gender &amp; Disability Project Advisory Group</w:t>
      </w:r>
      <w:r w:rsidR="0019336D" w:rsidRPr="000C447C">
        <w:rPr>
          <w:sz w:val="24"/>
          <w:szCs w:val="24"/>
        </w:rPr>
        <w:t xml:space="preserve">: </w:t>
      </w:r>
      <w:r w:rsidRPr="000C447C">
        <w:rPr>
          <w:sz w:val="24"/>
          <w:szCs w:val="24"/>
        </w:rPr>
        <w:t>5 consultations.</w:t>
      </w:r>
    </w:p>
    <w:p w14:paraId="17FB2016" w14:textId="77777777" w:rsidR="004D45A2" w:rsidRPr="000C447C" w:rsidRDefault="004D45A2" w:rsidP="004D45A2">
      <w:pPr>
        <w:rPr>
          <w:rStyle w:val="Strong"/>
          <w:sz w:val="24"/>
          <w:szCs w:val="24"/>
        </w:rPr>
      </w:pPr>
      <w:r w:rsidRPr="000C447C">
        <w:rPr>
          <w:rStyle w:val="Strong"/>
          <w:sz w:val="24"/>
          <w:szCs w:val="24"/>
        </w:rPr>
        <w:t>Women’s Health East Margins to Mainstream project</w:t>
      </w:r>
    </w:p>
    <w:p w14:paraId="7FD683F7" w14:textId="043BDF69" w:rsidR="004D45A2" w:rsidRPr="000C447C" w:rsidRDefault="004D45A2" w:rsidP="00203153">
      <w:pPr>
        <w:rPr>
          <w:sz w:val="24"/>
          <w:szCs w:val="24"/>
        </w:rPr>
      </w:pPr>
      <w:r w:rsidRPr="000C447C">
        <w:rPr>
          <w:sz w:val="24"/>
          <w:szCs w:val="24"/>
        </w:rPr>
        <w:t>9 recommendations</w:t>
      </w:r>
      <w:r w:rsidR="0048149B" w:rsidRPr="000C447C">
        <w:rPr>
          <w:sz w:val="24"/>
          <w:szCs w:val="24"/>
        </w:rPr>
        <w:t xml:space="preserve"> </w:t>
      </w:r>
      <w:r w:rsidRPr="000C447C">
        <w:rPr>
          <w:sz w:val="24"/>
          <w:szCs w:val="24"/>
        </w:rPr>
        <w:t>to inclusive and accessible film production companies.</w:t>
      </w:r>
      <w:r w:rsidR="00203153" w:rsidRPr="000C447C">
        <w:rPr>
          <w:sz w:val="24"/>
          <w:szCs w:val="24"/>
        </w:rPr>
        <w:t xml:space="preserve"> </w:t>
      </w:r>
    </w:p>
    <w:p w14:paraId="7E0702DC" w14:textId="135BDDAA" w:rsidR="000B435B" w:rsidRPr="000C447C" w:rsidRDefault="004D45A2" w:rsidP="00203153">
      <w:pPr>
        <w:rPr>
          <w:sz w:val="24"/>
          <w:szCs w:val="24"/>
        </w:rPr>
      </w:pPr>
      <w:r w:rsidRPr="000C447C">
        <w:rPr>
          <w:sz w:val="24"/>
          <w:szCs w:val="24"/>
        </w:rPr>
        <w:t>PVAW and disability committees</w:t>
      </w:r>
      <w:r w:rsidR="0048149B" w:rsidRPr="000C447C">
        <w:rPr>
          <w:sz w:val="24"/>
          <w:szCs w:val="24"/>
        </w:rPr>
        <w:t xml:space="preserve">: </w:t>
      </w:r>
      <w:r w:rsidRPr="000C447C">
        <w:rPr>
          <w:sz w:val="24"/>
          <w:szCs w:val="24"/>
        </w:rPr>
        <w:t>8 representations.</w:t>
      </w:r>
      <w:r w:rsidR="00203153" w:rsidRPr="000C447C">
        <w:rPr>
          <w:sz w:val="24"/>
          <w:szCs w:val="24"/>
        </w:rPr>
        <w:t xml:space="preserve"> </w:t>
      </w:r>
    </w:p>
    <w:p w14:paraId="2CBC8B7C" w14:textId="77777777" w:rsidR="000B435B" w:rsidRDefault="000B435B" w:rsidP="000B435B">
      <w:pPr>
        <w:pStyle w:val="Heading4"/>
      </w:pPr>
      <w:r>
        <w:t>TRAINING</w:t>
      </w:r>
    </w:p>
    <w:p w14:paraId="268D7B09" w14:textId="644A25A0" w:rsidR="000B435B" w:rsidRPr="000C447C" w:rsidRDefault="000B435B" w:rsidP="00203153">
      <w:pPr>
        <w:rPr>
          <w:sz w:val="24"/>
          <w:szCs w:val="24"/>
        </w:rPr>
      </w:pPr>
      <w:r w:rsidRPr="000C447C">
        <w:rPr>
          <w:sz w:val="24"/>
          <w:szCs w:val="24"/>
        </w:rPr>
        <w:t>Redeveloped all training content and activities for online use.</w:t>
      </w:r>
      <w:r w:rsidR="00203153" w:rsidRPr="000C447C">
        <w:rPr>
          <w:sz w:val="24"/>
          <w:szCs w:val="24"/>
        </w:rPr>
        <w:t xml:space="preserve"> </w:t>
      </w:r>
    </w:p>
    <w:p w14:paraId="07F26662" w14:textId="5273ED6B" w:rsidR="000B435B" w:rsidRPr="000C447C" w:rsidRDefault="000B435B" w:rsidP="00203153">
      <w:pPr>
        <w:rPr>
          <w:sz w:val="24"/>
          <w:szCs w:val="24"/>
        </w:rPr>
      </w:pPr>
      <w:r w:rsidRPr="000C447C">
        <w:rPr>
          <w:sz w:val="24"/>
          <w:szCs w:val="24"/>
        </w:rPr>
        <w:t>2 online self-paced WDV micro-credentials developed on violence prevention.</w:t>
      </w:r>
      <w:r w:rsidR="00203153" w:rsidRPr="000C447C">
        <w:rPr>
          <w:sz w:val="24"/>
          <w:szCs w:val="24"/>
        </w:rPr>
        <w:t xml:space="preserve"> </w:t>
      </w:r>
    </w:p>
    <w:p w14:paraId="794E7412" w14:textId="77777777" w:rsidR="000B435B" w:rsidRPr="000C447C" w:rsidRDefault="000B435B" w:rsidP="00241A8F">
      <w:pPr>
        <w:spacing w:after="40"/>
        <w:rPr>
          <w:sz w:val="24"/>
          <w:szCs w:val="24"/>
        </w:rPr>
      </w:pPr>
      <w:r w:rsidRPr="000C447C">
        <w:rPr>
          <w:sz w:val="24"/>
          <w:szCs w:val="24"/>
        </w:rPr>
        <w:t>456 participants completed training in the online Gender and Disability Workforce Development Training Program to prevent violence against women with disabilities (feedback good-very good 95%) to a range of services:</w:t>
      </w:r>
    </w:p>
    <w:p w14:paraId="51C7D8C4" w14:textId="77777777" w:rsidR="000B435B" w:rsidRPr="000C447C" w:rsidRDefault="000B435B" w:rsidP="000B435B">
      <w:pPr>
        <w:pStyle w:val="ListBullet"/>
        <w:rPr>
          <w:sz w:val="24"/>
        </w:rPr>
      </w:pPr>
      <w:r w:rsidRPr="000C447C">
        <w:rPr>
          <w:sz w:val="24"/>
        </w:rPr>
        <w:t xml:space="preserve">WHS </w:t>
      </w:r>
    </w:p>
    <w:p w14:paraId="7AD3A55A" w14:textId="77777777" w:rsidR="000B435B" w:rsidRPr="000C447C" w:rsidRDefault="000B435B" w:rsidP="000B435B">
      <w:pPr>
        <w:pStyle w:val="ListBullet"/>
        <w:rPr>
          <w:sz w:val="24"/>
        </w:rPr>
      </w:pPr>
      <w:r w:rsidRPr="000C447C">
        <w:rPr>
          <w:sz w:val="24"/>
        </w:rPr>
        <w:t xml:space="preserve">GSNV </w:t>
      </w:r>
    </w:p>
    <w:p w14:paraId="247B58D8" w14:textId="77777777" w:rsidR="000B435B" w:rsidRPr="000C447C" w:rsidRDefault="000B435B" w:rsidP="000B435B">
      <w:pPr>
        <w:pStyle w:val="ListBullet"/>
        <w:rPr>
          <w:sz w:val="24"/>
        </w:rPr>
      </w:pPr>
      <w:r w:rsidRPr="000C447C">
        <w:rPr>
          <w:sz w:val="24"/>
        </w:rPr>
        <w:t xml:space="preserve">Local government </w:t>
      </w:r>
    </w:p>
    <w:p w14:paraId="2CE27A9B" w14:textId="77777777" w:rsidR="002315DD" w:rsidRDefault="000B435B" w:rsidP="002315DD">
      <w:pPr>
        <w:pStyle w:val="ListBullet"/>
        <w:rPr>
          <w:sz w:val="24"/>
        </w:rPr>
      </w:pPr>
      <w:r w:rsidRPr="000C447C">
        <w:rPr>
          <w:sz w:val="24"/>
        </w:rPr>
        <w:t xml:space="preserve">Disability services </w:t>
      </w:r>
    </w:p>
    <w:p w14:paraId="14CCDBE6" w14:textId="326D79B2" w:rsidR="000B435B" w:rsidRPr="002315DD" w:rsidRDefault="00203153" w:rsidP="002315DD">
      <w:pPr>
        <w:pStyle w:val="ListBullet"/>
        <w:rPr>
          <w:sz w:val="24"/>
        </w:rPr>
      </w:pPr>
      <w:r w:rsidRPr="002315DD">
        <w:rPr>
          <w:sz w:val="24"/>
        </w:rPr>
        <w:t>Pr</w:t>
      </w:r>
      <w:r w:rsidR="000B435B" w:rsidRPr="002315DD">
        <w:rPr>
          <w:sz w:val="24"/>
        </w:rPr>
        <w:t xml:space="preserve">evention services, and more. </w:t>
      </w:r>
    </w:p>
    <w:p w14:paraId="121CCB31" w14:textId="77777777" w:rsidR="000B435B" w:rsidRPr="000C447C" w:rsidRDefault="000B435B" w:rsidP="000B435B">
      <w:pPr>
        <w:rPr>
          <w:sz w:val="24"/>
          <w:szCs w:val="24"/>
        </w:rPr>
      </w:pPr>
      <w:r w:rsidRPr="000C447C">
        <w:rPr>
          <w:sz w:val="24"/>
          <w:szCs w:val="24"/>
        </w:rPr>
        <w:t>Experts by Experience Pilot Training Project for Gender and Disability</w:t>
      </w:r>
    </w:p>
    <w:p w14:paraId="6B87CE78" w14:textId="036A545B" w:rsidR="000B435B" w:rsidRPr="000C447C" w:rsidRDefault="000B435B" w:rsidP="00203153">
      <w:pPr>
        <w:rPr>
          <w:sz w:val="24"/>
          <w:szCs w:val="24"/>
        </w:rPr>
      </w:pPr>
      <w:r w:rsidRPr="000C447C">
        <w:rPr>
          <w:sz w:val="24"/>
          <w:szCs w:val="24"/>
        </w:rPr>
        <w:t>3 sessions, 30 participants, from three disability organisations - workforce development.</w:t>
      </w:r>
      <w:r w:rsidR="00203153" w:rsidRPr="000C447C">
        <w:rPr>
          <w:sz w:val="24"/>
          <w:szCs w:val="24"/>
        </w:rPr>
        <w:t xml:space="preserve"> </w:t>
      </w:r>
    </w:p>
    <w:p w14:paraId="0788F7EE" w14:textId="35641D8C" w:rsidR="00B95907" w:rsidRPr="000C447C" w:rsidRDefault="000B435B" w:rsidP="00203153">
      <w:pPr>
        <w:rPr>
          <w:sz w:val="24"/>
          <w:szCs w:val="24"/>
        </w:rPr>
      </w:pPr>
      <w:r w:rsidRPr="000C447C">
        <w:rPr>
          <w:sz w:val="24"/>
          <w:szCs w:val="24"/>
        </w:rPr>
        <w:t>Awareness Building Workshops: 809 participants</w:t>
      </w:r>
      <w:r w:rsidR="00203153" w:rsidRPr="000C447C">
        <w:rPr>
          <w:sz w:val="24"/>
          <w:szCs w:val="24"/>
        </w:rPr>
        <w:t xml:space="preserve"> </w:t>
      </w:r>
    </w:p>
    <w:p w14:paraId="0338DFEB" w14:textId="77777777" w:rsidR="0019336D" w:rsidRDefault="0019336D" w:rsidP="00B95907">
      <w:pPr>
        <w:pStyle w:val="NoSpacing"/>
        <w:pBdr>
          <w:top w:val="single" w:sz="4" w:space="1" w:color="A9218E" w:themeColor="accent2"/>
        </w:pBdr>
        <w:sectPr w:rsidR="0019336D" w:rsidSect="00364369">
          <w:type w:val="continuous"/>
          <w:pgSz w:w="11906" w:h="16838" w:code="9"/>
          <w:pgMar w:top="992" w:right="851" w:bottom="992" w:left="851" w:header="567" w:footer="567" w:gutter="0"/>
          <w:cols w:space="284"/>
          <w:docGrid w:linePitch="360"/>
        </w:sectPr>
      </w:pPr>
    </w:p>
    <w:p w14:paraId="7E703CED" w14:textId="77777777" w:rsidR="0019336D" w:rsidRPr="00203153" w:rsidRDefault="0019336D" w:rsidP="0019336D">
      <w:pPr>
        <w:rPr>
          <w:sz w:val="24"/>
          <w:szCs w:val="24"/>
        </w:rPr>
      </w:pPr>
      <w:r w:rsidRPr="00203153">
        <w:rPr>
          <w:sz w:val="24"/>
          <w:szCs w:val="24"/>
        </w:rPr>
        <w:t>“I recently attended an on-line training program and gained a much greater understanding and deeper insight in how to prevent violence against women with a disability.</w:t>
      </w:r>
    </w:p>
    <w:p w14:paraId="32DE57CB" w14:textId="2F09018A" w:rsidR="0019336D" w:rsidRPr="00203153" w:rsidRDefault="0019336D" w:rsidP="0019336D">
      <w:pPr>
        <w:rPr>
          <w:sz w:val="24"/>
          <w:szCs w:val="24"/>
        </w:rPr>
      </w:pPr>
      <w:r w:rsidRPr="00203153">
        <w:rPr>
          <w:sz w:val="24"/>
          <w:szCs w:val="24"/>
        </w:rPr>
        <w:t xml:space="preserve">To learn from the perspective of those who live with a disability gives you an appreciation of the challenges, </w:t>
      </w:r>
      <w:proofErr w:type="gramStart"/>
      <w:r w:rsidRPr="00203153">
        <w:rPr>
          <w:sz w:val="24"/>
          <w:szCs w:val="24"/>
        </w:rPr>
        <w:t>bias</w:t>
      </w:r>
      <w:proofErr w:type="gramEnd"/>
      <w:r w:rsidRPr="00203153">
        <w:rPr>
          <w:sz w:val="24"/>
          <w:szCs w:val="24"/>
        </w:rPr>
        <w:t xml:space="preserve"> and discrimination that people with a disability face on a daily basis. As someone who does not have a disability</w:t>
      </w:r>
      <w:r w:rsidR="00F41C81" w:rsidRPr="00203153">
        <w:rPr>
          <w:sz w:val="24"/>
          <w:szCs w:val="24"/>
        </w:rPr>
        <w:t>,</w:t>
      </w:r>
      <w:r w:rsidRPr="00203153">
        <w:rPr>
          <w:sz w:val="24"/>
          <w:szCs w:val="24"/>
        </w:rPr>
        <w:t xml:space="preserve"> I can only begin to better understand these </w:t>
      </w:r>
      <w:proofErr w:type="gramStart"/>
      <w:r w:rsidRPr="00203153">
        <w:rPr>
          <w:sz w:val="24"/>
          <w:szCs w:val="24"/>
        </w:rPr>
        <w:t>particular challenges</w:t>
      </w:r>
      <w:proofErr w:type="gramEnd"/>
      <w:r w:rsidRPr="00203153">
        <w:rPr>
          <w:sz w:val="24"/>
          <w:szCs w:val="24"/>
        </w:rPr>
        <w:t xml:space="preserve"> by listening and learning from the perspective of those who do have a disability.</w:t>
      </w:r>
    </w:p>
    <w:p w14:paraId="16DADECA" w14:textId="77777777" w:rsidR="0019336D" w:rsidRPr="00203153" w:rsidRDefault="0019336D" w:rsidP="0019336D">
      <w:pPr>
        <w:rPr>
          <w:sz w:val="24"/>
          <w:szCs w:val="24"/>
        </w:rPr>
      </w:pPr>
      <w:r w:rsidRPr="00203153">
        <w:rPr>
          <w:sz w:val="24"/>
          <w:szCs w:val="24"/>
        </w:rPr>
        <w:t xml:space="preserve">I also found the course facilitators encouraged everyone to participate and </w:t>
      </w:r>
      <w:r w:rsidRPr="00203153">
        <w:rPr>
          <w:sz w:val="24"/>
          <w:szCs w:val="24"/>
        </w:rPr>
        <w:t>this made the course more engaging and interactive. I thoroughly recommend this course to anyone wanting to expand their professional expertise or deepen their understanding of how we can work more effectively together to prevent violence towards women with a disability in our communities.”</w:t>
      </w:r>
    </w:p>
    <w:p w14:paraId="712CA5B5" w14:textId="397CE20B" w:rsidR="004B5B56" w:rsidRPr="00203153" w:rsidRDefault="0019336D" w:rsidP="0019336D">
      <w:pPr>
        <w:rPr>
          <w:sz w:val="24"/>
          <w:szCs w:val="24"/>
        </w:rPr>
      </w:pPr>
      <w:r w:rsidRPr="00203153">
        <w:rPr>
          <w:sz w:val="24"/>
          <w:szCs w:val="24"/>
        </w:rPr>
        <w:t>Rosie Batty, Domestic Violence Advocate</w:t>
      </w:r>
    </w:p>
    <w:p w14:paraId="06F88CA7" w14:textId="1397364A" w:rsidR="00241A8F" w:rsidRDefault="00241A8F" w:rsidP="0019336D">
      <w:r>
        <w:rPr>
          <w:noProof/>
          <w:lang w:eastAsia="en-AU"/>
        </w:rPr>
        <w:drawing>
          <wp:inline distT="0" distB="0" distL="0" distR="0" wp14:anchorId="40224918" wp14:editId="52E1F409">
            <wp:extent cx="1105469" cy="955744"/>
            <wp:effectExtent l="0" t="0" r="0" b="0"/>
            <wp:docPr id="7" name="Picture 7" descr="Photo of Rosie Batty, head tilted to the left, gazing away from the camera with a closed mouth smile. She is wearing glasses and an earring is visible in her right 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hoto of Rosie Batty, head tilted to the left, gazing away from the camera with a closed mouth smile. She is wearing glasses and an earring is visible in her right ea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18691" cy="967175"/>
                    </a:xfrm>
                    <a:prstGeom prst="rect">
                      <a:avLst/>
                    </a:prstGeom>
                  </pic:spPr>
                </pic:pic>
              </a:graphicData>
            </a:graphic>
          </wp:inline>
        </w:drawing>
      </w:r>
    </w:p>
    <w:p w14:paraId="1A65CA51" w14:textId="77777777" w:rsidR="00FF51EA" w:rsidRDefault="00FF51EA" w:rsidP="003613B9">
      <w:pPr>
        <w:pStyle w:val="Heading1"/>
      </w:pPr>
    </w:p>
    <w:p w14:paraId="08E0CF15" w14:textId="46D2A737" w:rsidR="003613B9" w:rsidRDefault="003613B9" w:rsidP="003613B9">
      <w:pPr>
        <w:pStyle w:val="Heading1"/>
      </w:pPr>
      <w:r>
        <w:lastRenderedPageBreak/>
        <w:t>Thank you</w:t>
      </w:r>
    </w:p>
    <w:p w14:paraId="2B0A5EEB" w14:textId="2D7DAC8D" w:rsidR="00241A8F" w:rsidRDefault="003613B9" w:rsidP="003613B9">
      <w:pPr>
        <w:pStyle w:val="Highlight-Pink"/>
      </w:pPr>
      <w:r>
        <w:t xml:space="preserve">to the following funders, </w:t>
      </w:r>
      <w:proofErr w:type="gramStart"/>
      <w:r>
        <w:t>partners</w:t>
      </w:r>
      <w:proofErr w:type="gramEnd"/>
      <w:r>
        <w:t xml:space="preserve"> and supporters</w:t>
      </w:r>
    </w:p>
    <w:p w14:paraId="49515A24" w14:textId="50FBE467" w:rsidR="003613B9" w:rsidRDefault="003613B9" w:rsidP="003613B9"/>
    <w:p w14:paraId="387DEA0B" w14:textId="77777777" w:rsidR="00E50B8A" w:rsidRPr="00203153" w:rsidRDefault="00E50B8A" w:rsidP="00E50B8A">
      <w:pPr>
        <w:rPr>
          <w:sz w:val="24"/>
          <w:szCs w:val="24"/>
        </w:rPr>
      </w:pPr>
      <w:r w:rsidRPr="00203153">
        <w:rPr>
          <w:sz w:val="24"/>
          <w:szCs w:val="24"/>
        </w:rPr>
        <w:t xml:space="preserve">1800 My Options </w:t>
      </w:r>
    </w:p>
    <w:p w14:paraId="51886DC1" w14:textId="77777777" w:rsidR="00E50B8A" w:rsidRPr="00203153" w:rsidRDefault="00E50B8A" w:rsidP="00E50B8A">
      <w:pPr>
        <w:rPr>
          <w:sz w:val="24"/>
          <w:szCs w:val="24"/>
        </w:rPr>
      </w:pPr>
      <w:r w:rsidRPr="00203153">
        <w:rPr>
          <w:sz w:val="24"/>
          <w:szCs w:val="24"/>
        </w:rPr>
        <w:t xml:space="preserve">3CR radio </w:t>
      </w:r>
    </w:p>
    <w:p w14:paraId="79E76312" w14:textId="77777777" w:rsidR="00E50B8A" w:rsidRPr="00203153" w:rsidRDefault="00E50B8A" w:rsidP="00E50B8A">
      <w:pPr>
        <w:rPr>
          <w:sz w:val="24"/>
          <w:szCs w:val="24"/>
        </w:rPr>
      </w:pPr>
      <w:r w:rsidRPr="00203153">
        <w:rPr>
          <w:sz w:val="24"/>
          <w:szCs w:val="24"/>
        </w:rPr>
        <w:t xml:space="preserve">Barwon Integrated Family Violence Committee </w:t>
      </w:r>
    </w:p>
    <w:p w14:paraId="3CD0A133" w14:textId="77777777" w:rsidR="00E50B8A" w:rsidRPr="00203153" w:rsidRDefault="00E50B8A" w:rsidP="00E50B8A">
      <w:pPr>
        <w:rPr>
          <w:sz w:val="24"/>
          <w:szCs w:val="24"/>
        </w:rPr>
      </w:pPr>
      <w:r w:rsidRPr="00203153">
        <w:rPr>
          <w:sz w:val="24"/>
          <w:szCs w:val="24"/>
        </w:rPr>
        <w:t xml:space="preserve">Brotherhood of St Laurence </w:t>
      </w:r>
    </w:p>
    <w:p w14:paraId="2AC4FE84" w14:textId="77777777" w:rsidR="00E50B8A" w:rsidRPr="00203153" w:rsidRDefault="00E50B8A" w:rsidP="00E50B8A">
      <w:pPr>
        <w:rPr>
          <w:sz w:val="24"/>
          <w:szCs w:val="24"/>
        </w:rPr>
      </w:pPr>
      <w:r w:rsidRPr="00203153">
        <w:rPr>
          <w:sz w:val="24"/>
          <w:szCs w:val="24"/>
        </w:rPr>
        <w:t xml:space="preserve">Care Support Network </w:t>
      </w:r>
    </w:p>
    <w:p w14:paraId="6264D163" w14:textId="77777777" w:rsidR="00E50B8A" w:rsidRPr="00203153" w:rsidRDefault="00E50B8A" w:rsidP="00E50B8A">
      <w:pPr>
        <w:rPr>
          <w:sz w:val="24"/>
          <w:szCs w:val="24"/>
        </w:rPr>
      </w:pPr>
      <w:r w:rsidRPr="00203153">
        <w:rPr>
          <w:sz w:val="24"/>
          <w:szCs w:val="24"/>
        </w:rPr>
        <w:t>Carrington Community Health</w:t>
      </w:r>
    </w:p>
    <w:p w14:paraId="50C1AF16" w14:textId="77777777" w:rsidR="00E50B8A" w:rsidRPr="00203153" w:rsidRDefault="00E50B8A" w:rsidP="00E50B8A">
      <w:pPr>
        <w:rPr>
          <w:sz w:val="24"/>
          <w:szCs w:val="24"/>
        </w:rPr>
      </w:pPr>
      <w:r w:rsidRPr="00203153">
        <w:rPr>
          <w:sz w:val="24"/>
          <w:szCs w:val="24"/>
        </w:rPr>
        <w:t xml:space="preserve">Cobram Community House </w:t>
      </w:r>
    </w:p>
    <w:p w14:paraId="3166BCF4" w14:textId="77777777" w:rsidR="00E50B8A" w:rsidRPr="00203153" w:rsidRDefault="00E50B8A" w:rsidP="00E50B8A">
      <w:pPr>
        <w:rPr>
          <w:sz w:val="24"/>
          <w:szCs w:val="24"/>
        </w:rPr>
      </w:pPr>
      <w:proofErr w:type="spellStart"/>
      <w:r w:rsidRPr="00203153">
        <w:rPr>
          <w:sz w:val="24"/>
          <w:szCs w:val="24"/>
        </w:rPr>
        <w:t>Coonara</w:t>
      </w:r>
      <w:proofErr w:type="spellEnd"/>
      <w:r w:rsidRPr="00203153">
        <w:rPr>
          <w:sz w:val="24"/>
          <w:szCs w:val="24"/>
        </w:rPr>
        <w:t xml:space="preserve"> Community House </w:t>
      </w:r>
    </w:p>
    <w:p w14:paraId="4D6BADF0" w14:textId="77777777" w:rsidR="00E50B8A" w:rsidRPr="00203153" w:rsidRDefault="00E50B8A" w:rsidP="00E50B8A">
      <w:pPr>
        <w:rPr>
          <w:sz w:val="24"/>
          <w:szCs w:val="24"/>
        </w:rPr>
      </w:pPr>
      <w:r w:rsidRPr="00203153">
        <w:rPr>
          <w:sz w:val="24"/>
          <w:szCs w:val="24"/>
        </w:rPr>
        <w:t xml:space="preserve">Department of Education </w:t>
      </w:r>
    </w:p>
    <w:p w14:paraId="36FCAD19" w14:textId="77777777" w:rsidR="00E50B8A" w:rsidRPr="00203153" w:rsidRDefault="00E50B8A" w:rsidP="00E50B8A">
      <w:pPr>
        <w:rPr>
          <w:sz w:val="24"/>
          <w:szCs w:val="24"/>
        </w:rPr>
      </w:pPr>
      <w:r w:rsidRPr="00203153">
        <w:rPr>
          <w:sz w:val="24"/>
          <w:szCs w:val="24"/>
        </w:rPr>
        <w:t xml:space="preserve">Department of Justice and Community Safety Victoria </w:t>
      </w:r>
    </w:p>
    <w:p w14:paraId="16897AEA" w14:textId="77777777" w:rsidR="00E50B8A" w:rsidRPr="00203153" w:rsidRDefault="00E50B8A" w:rsidP="00E50B8A">
      <w:pPr>
        <w:rPr>
          <w:sz w:val="24"/>
          <w:szCs w:val="24"/>
        </w:rPr>
      </w:pPr>
      <w:r w:rsidRPr="00203153">
        <w:rPr>
          <w:sz w:val="24"/>
          <w:szCs w:val="24"/>
        </w:rPr>
        <w:t xml:space="preserve">Department of Health and Human Services (DHHS) </w:t>
      </w:r>
    </w:p>
    <w:p w14:paraId="333D2CE3" w14:textId="77777777" w:rsidR="00E50B8A" w:rsidRPr="00203153" w:rsidRDefault="00E50B8A" w:rsidP="00E50B8A">
      <w:pPr>
        <w:rPr>
          <w:sz w:val="24"/>
          <w:szCs w:val="24"/>
        </w:rPr>
      </w:pPr>
      <w:r w:rsidRPr="00203153">
        <w:rPr>
          <w:sz w:val="24"/>
          <w:szCs w:val="24"/>
        </w:rPr>
        <w:t xml:space="preserve">Department of Family Fairness and Housing (DFFH) </w:t>
      </w:r>
    </w:p>
    <w:p w14:paraId="4CEFDE0D" w14:textId="77777777" w:rsidR="00E50B8A" w:rsidRPr="00203153" w:rsidRDefault="00E50B8A" w:rsidP="00E50B8A">
      <w:pPr>
        <w:rPr>
          <w:sz w:val="24"/>
          <w:szCs w:val="24"/>
        </w:rPr>
      </w:pPr>
      <w:r w:rsidRPr="00203153">
        <w:rPr>
          <w:sz w:val="24"/>
          <w:szCs w:val="24"/>
        </w:rPr>
        <w:t>Department of Social Services</w:t>
      </w:r>
    </w:p>
    <w:p w14:paraId="29266D8B" w14:textId="77777777" w:rsidR="00E50B8A" w:rsidRPr="00203153" w:rsidRDefault="00E50B8A" w:rsidP="00E50B8A">
      <w:pPr>
        <w:rPr>
          <w:sz w:val="24"/>
          <w:szCs w:val="24"/>
        </w:rPr>
      </w:pPr>
      <w:r w:rsidRPr="00203153">
        <w:rPr>
          <w:sz w:val="24"/>
          <w:szCs w:val="24"/>
        </w:rPr>
        <w:t xml:space="preserve">Disability Family Violence Crisis Fund </w:t>
      </w:r>
    </w:p>
    <w:p w14:paraId="424538A6" w14:textId="77777777" w:rsidR="00E50B8A" w:rsidRPr="00203153" w:rsidRDefault="00E50B8A" w:rsidP="00E50B8A">
      <w:pPr>
        <w:rPr>
          <w:sz w:val="24"/>
          <w:szCs w:val="24"/>
        </w:rPr>
      </w:pPr>
      <w:r w:rsidRPr="00203153">
        <w:rPr>
          <w:sz w:val="24"/>
          <w:szCs w:val="24"/>
        </w:rPr>
        <w:t xml:space="preserve">Disability Royal Commission </w:t>
      </w:r>
    </w:p>
    <w:p w14:paraId="749B1942" w14:textId="77777777" w:rsidR="00E50B8A" w:rsidRPr="00203153" w:rsidRDefault="00E50B8A" w:rsidP="00E50B8A">
      <w:pPr>
        <w:rPr>
          <w:sz w:val="24"/>
          <w:szCs w:val="24"/>
        </w:rPr>
      </w:pPr>
      <w:r w:rsidRPr="00203153">
        <w:rPr>
          <w:sz w:val="24"/>
          <w:szCs w:val="24"/>
        </w:rPr>
        <w:t xml:space="preserve">Disability Services Commission </w:t>
      </w:r>
    </w:p>
    <w:p w14:paraId="7D24FAD3" w14:textId="77777777" w:rsidR="00E50B8A" w:rsidRPr="00203153" w:rsidRDefault="00E50B8A" w:rsidP="00E50B8A">
      <w:pPr>
        <w:rPr>
          <w:sz w:val="24"/>
          <w:szCs w:val="24"/>
        </w:rPr>
      </w:pPr>
      <w:r w:rsidRPr="00203153">
        <w:rPr>
          <w:sz w:val="24"/>
          <w:szCs w:val="24"/>
        </w:rPr>
        <w:t xml:space="preserve">Drummond Street Services </w:t>
      </w:r>
    </w:p>
    <w:p w14:paraId="0EB7689E" w14:textId="77777777" w:rsidR="00E50B8A" w:rsidRPr="00203153" w:rsidRDefault="00E50B8A" w:rsidP="00E50B8A">
      <w:pPr>
        <w:rPr>
          <w:sz w:val="24"/>
          <w:szCs w:val="24"/>
        </w:rPr>
      </w:pPr>
      <w:r w:rsidRPr="00203153">
        <w:rPr>
          <w:sz w:val="24"/>
          <w:szCs w:val="24"/>
        </w:rPr>
        <w:t xml:space="preserve">DV Vic/DVRC </w:t>
      </w:r>
    </w:p>
    <w:p w14:paraId="2D352188" w14:textId="77777777" w:rsidR="00E50B8A" w:rsidRPr="00203153" w:rsidRDefault="00E50B8A" w:rsidP="00E50B8A">
      <w:pPr>
        <w:rPr>
          <w:sz w:val="24"/>
          <w:szCs w:val="24"/>
        </w:rPr>
      </w:pPr>
      <w:r w:rsidRPr="00203153">
        <w:rPr>
          <w:sz w:val="24"/>
          <w:szCs w:val="24"/>
        </w:rPr>
        <w:t xml:space="preserve">EACH </w:t>
      </w:r>
    </w:p>
    <w:p w14:paraId="6A5437B8" w14:textId="77777777" w:rsidR="00E50B8A" w:rsidRPr="00203153" w:rsidRDefault="00E50B8A" w:rsidP="00E50B8A">
      <w:pPr>
        <w:rPr>
          <w:sz w:val="24"/>
          <w:szCs w:val="24"/>
        </w:rPr>
      </w:pPr>
      <w:r w:rsidRPr="00203153">
        <w:rPr>
          <w:sz w:val="24"/>
          <w:szCs w:val="24"/>
        </w:rPr>
        <w:t xml:space="preserve">Eastern Centre Against Sexual Assault </w:t>
      </w:r>
    </w:p>
    <w:p w14:paraId="3BEA7B77" w14:textId="77777777" w:rsidR="00E50B8A" w:rsidRPr="00203153" w:rsidRDefault="00E50B8A" w:rsidP="00E50B8A">
      <w:pPr>
        <w:rPr>
          <w:sz w:val="24"/>
          <w:szCs w:val="24"/>
        </w:rPr>
      </w:pPr>
      <w:r w:rsidRPr="00203153">
        <w:rPr>
          <w:sz w:val="24"/>
          <w:szCs w:val="24"/>
        </w:rPr>
        <w:t xml:space="preserve">Eastern Community Legal Centre </w:t>
      </w:r>
    </w:p>
    <w:p w14:paraId="2D8F541B" w14:textId="77777777" w:rsidR="00E50B8A" w:rsidRPr="00203153" w:rsidRDefault="00E50B8A" w:rsidP="00E50B8A">
      <w:pPr>
        <w:rPr>
          <w:sz w:val="24"/>
          <w:szCs w:val="24"/>
        </w:rPr>
      </w:pPr>
      <w:r w:rsidRPr="00203153">
        <w:rPr>
          <w:sz w:val="24"/>
          <w:szCs w:val="24"/>
        </w:rPr>
        <w:t xml:space="preserve">Eastern Domestic Violence Service </w:t>
      </w:r>
    </w:p>
    <w:p w14:paraId="6E9A5B69" w14:textId="77777777" w:rsidR="00E50B8A" w:rsidRPr="00203153" w:rsidRDefault="00E50B8A" w:rsidP="00E50B8A">
      <w:pPr>
        <w:rPr>
          <w:sz w:val="24"/>
          <w:szCs w:val="24"/>
        </w:rPr>
      </w:pPr>
      <w:r w:rsidRPr="00203153">
        <w:rPr>
          <w:sz w:val="24"/>
          <w:szCs w:val="24"/>
        </w:rPr>
        <w:t xml:space="preserve">Eastern Health Family Planning Victoria </w:t>
      </w:r>
    </w:p>
    <w:p w14:paraId="32B1AF8D" w14:textId="77777777" w:rsidR="00E50B8A" w:rsidRPr="00203153" w:rsidRDefault="00E50B8A" w:rsidP="00E50B8A">
      <w:pPr>
        <w:rPr>
          <w:sz w:val="24"/>
          <w:szCs w:val="24"/>
        </w:rPr>
      </w:pPr>
      <w:r w:rsidRPr="00203153">
        <w:rPr>
          <w:sz w:val="24"/>
          <w:szCs w:val="24"/>
        </w:rPr>
        <w:t xml:space="preserve">Family Safety Victoria </w:t>
      </w:r>
    </w:p>
    <w:p w14:paraId="65A876FB" w14:textId="77777777" w:rsidR="00E50B8A" w:rsidRPr="00203153" w:rsidRDefault="00E50B8A" w:rsidP="00E50B8A">
      <w:pPr>
        <w:rPr>
          <w:sz w:val="24"/>
          <w:szCs w:val="24"/>
        </w:rPr>
      </w:pPr>
      <w:r w:rsidRPr="00203153">
        <w:rPr>
          <w:sz w:val="24"/>
          <w:szCs w:val="24"/>
        </w:rPr>
        <w:t>Geelong Region Alliance G21</w:t>
      </w:r>
    </w:p>
    <w:p w14:paraId="0AE97552" w14:textId="77777777" w:rsidR="00E50B8A" w:rsidRPr="00203153" w:rsidRDefault="00E50B8A" w:rsidP="00E50B8A">
      <w:pPr>
        <w:rPr>
          <w:sz w:val="24"/>
          <w:szCs w:val="24"/>
        </w:rPr>
      </w:pPr>
      <w:r w:rsidRPr="00203153">
        <w:rPr>
          <w:sz w:val="24"/>
          <w:szCs w:val="24"/>
        </w:rPr>
        <w:t xml:space="preserve">Geelong Sexual and Family Violence Centre (SAFV) </w:t>
      </w:r>
    </w:p>
    <w:p w14:paraId="3946811D" w14:textId="77777777" w:rsidR="00E50B8A" w:rsidRPr="00203153" w:rsidRDefault="00E50B8A" w:rsidP="00E50B8A">
      <w:pPr>
        <w:rPr>
          <w:sz w:val="24"/>
          <w:szCs w:val="24"/>
        </w:rPr>
      </w:pPr>
      <w:proofErr w:type="spellStart"/>
      <w:r w:rsidRPr="00203153">
        <w:rPr>
          <w:sz w:val="24"/>
          <w:szCs w:val="24"/>
        </w:rPr>
        <w:t>GenVic</w:t>
      </w:r>
      <w:proofErr w:type="spellEnd"/>
      <w:r w:rsidRPr="00203153">
        <w:rPr>
          <w:sz w:val="24"/>
          <w:szCs w:val="24"/>
        </w:rPr>
        <w:t xml:space="preserve"> </w:t>
      </w:r>
    </w:p>
    <w:p w14:paraId="60D40375" w14:textId="77777777" w:rsidR="00E50B8A" w:rsidRPr="00203153" w:rsidRDefault="00E50B8A" w:rsidP="00E50B8A">
      <w:pPr>
        <w:rPr>
          <w:sz w:val="24"/>
          <w:szCs w:val="24"/>
        </w:rPr>
      </w:pPr>
      <w:proofErr w:type="spellStart"/>
      <w:r w:rsidRPr="00203153">
        <w:rPr>
          <w:sz w:val="24"/>
          <w:szCs w:val="24"/>
        </w:rPr>
        <w:t>GenWest</w:t>
      </w:r>
      <w:proofErr w:type="spellEnd"/>
    </w:p>
    <w:p w14:paraId="40959C1C" w14:textId="77777777" w:rsidR="00E50B8A" w:rsidRPr="00203153" w:rsidRDefault="00E50B8A" w:rsidP="00E50B8A">
      <w:pPr>
        <w:rPr>
          <w:sz w:val="24"/>
          <w:szCs w:val="24"/>
        </w:rPr>
      </w:pPr>
      <w:r w:rsidRPr="00203153">
        <w:rPr>
          <w:sz w:val="24"/>
          <w:szCs w:val="24"/>
        </w:rPr>
        <w:t xml:space="preserve">Golden Plains Shire Council </w:t>
      </w:r>
    </w:p>
    <w:p w14:paraId="4692BAA2" w14:textId="77777777" w:rsidR="00E50B8A" w:rsidRPr="00203153" w:rsidRDefault="00E50B8A" w:rsidP="00E50B8A">
      <w:pPr>
        <w:rPr>
          <w:sz w:val="24"/>
          <w:szCs w:val="24"/>
        </w:rPr>
      </w:pPr>
      <w:r w:rsidRPr="00203153">
        <w:rPr>
          <w:sz w:val="24"/>
          <w:szCs w:val="24"/>
        </w:rPr>
        <w:t>Good Shepherd Youth and Family Services</w:t>
      </w:r>
    </w:p>
    <w:p w14:paraId="060EB83D" w14:textId="77777777" w:rsidR="00E50B8A" w:rsidRPr="00203153" w:rsidRDefault="00E50B8A" w:rsidP="00E50B8A">
      <w:pPr>
        <w:rPr>
          <w:sz w:val="24"/>
          <w:szCs w:val="24"/>
        </w:rPr>
      </w:pPr>
      <w:r w:rsidRPr="00203153">
        <w:rPr>
          <w:sz w:val="24"/>
          <w:szCs w:val="24"/>
        </w:rPr>
        <w:t xml:space="preserve">Genetic Support Network Victoria </w:t>
      </w:r>
    </w:p>
    <w:p w14:paraId="7DBEB866" w14:textId="77777777" w:rsidR="00E50B8A" w:rsidRPr="00203153" w:rsidRDefault="00E50B8A" w:rsidP="00E50B8A">
      <w:pPr>
        <w:rPr>
          <w:sz w:val="24"/>
          <w:szCs w:val="24"/>
        </w:rPr>
      </w:pPr>
      <w:r w:rsidRPr="00203153">
        <w:rPr>
          <w:sz w:val="24"/>
          <w:szCs w:val="24"/>
        </w:rPr>
        <w:t xml:space="preserve">Hearth Australia </w:t>
      </w:r>
    </w:p>
    <w:p w14:paraId="18B522C2" w14:textId="77777777" w:rsidR="00E50B8A" w:rsidRPr="00203153" w:rsidRDefault="00E50B8A" w:rsidP="00E50B8A">
      <w:pPr>
        <w:rPr>
          <w:sz w:val="24"/>
          <w:szCs w:val="24"/>
        </w:rPr>
      </w:pPr>
      <w:r w:rsidRPr="00203153">
        <w:rPr>
          <w:sz w:val="24"/>
          <w:szCs w:val="24"/>
        </w:rPr>
        <w:t xml:space="preserve">Dr Helen Sykes </w:t>
      </w:r>
    </w:p>
    <w:p w14:paraId="78033022" w14:textId="77777777" w:rsidR="00E50B8A" w:rsidRPr="00203153" w:rsidRDefault="00E50B8A" w:rsidP="00E50B8A">
      <w:pPr>
        <w:rPr>
          <w:sz w:val="24"/>
          <w:szCs w:val="24"/>
        </w:rPr>
      </w:pPr>
      <w:r w:rsidRPr="00203153">
        <w:rPr>
          <w:sz w:val="24"/>
          <w:szCs w:val="24"/>
        </w:rPr>
        <w:t xml:space="preserve">Kevin Heinze Grow </w:t>
      </w:r>
    </w:p>
    <w:p w14:paraId="2D5A8961" w14:textId="77777777" w:rsidR="00E50B8A" w:rsidRPr="00203153" w:rsidRDefault="00E50B8A" w:rsidP="00E50B8A">
      <w:pPr>
        <w:rPr>
          <w:sz w:val="24"/>
          <w:szCs w:val="24"/>
        </w:rPr>
      </w:pPr>
      <w:r w:rsidRPr="00203153">
        <w:rPr>
          <w:sz w:val="24"/>
          <w:szCs w:val="24"/>
        </w:rPr>
        <w:t xml:space="preserve">Knox City Council </w:t>
      </w:r>
    </w:p>
    <w:p w14:paraId="05551FFD" w14:textId="77777777" w:rsidR="00E50B8A" w:rsidRPr="00203153" w:rsidRDefault="00E50B8A" w:rsidP="00E50B8A">
      <w:pPr>
        <w:rPr>
          <w:sz w:val="24"/>
          <w:szCs w:val="24"/>
        </w:rPr>
      </w:pPr>
      <w:r w:rsidRPr="00203153">
        <w:rPr>
          <w:sz w:val="24"/>
          <w:szCs w:val="24"/>
        </w:rPr>
        <w:t xml:space="preserve">La Trobe University </w:t>
      </w:r>
    </w:p>
    <w:p w14:paraId="2DB8E6E8" w14:textId="41474BA2" w:rsidR="00E50B8A" w:rsidRPr="00203153" w:rsidRDefault="00E50B8A" w:rsidP="00E50B8A">
      <w:pPr>
        <w:rPr>
          <w:sz w:val="24"/>
          <w:szCs w:val="24"/>
        </w:rPr>
      </w:pPr>
      <w:r w:rsidRPr="00203153">
        <w:rPr>
          <w:sz w:val="24"/>
          <w:szCs w:val="24"/>
        </w:rPr>
        <w:t>Mat Collins and Dee Papworth</w:t>
      </w:r>
    </w:p>
    <w:p w14:paraId="297F1C63" w14:textId="77777777" w:rsidR="00E50B8A" w:rsidRPr="00203153" w:rsidRDefault="00E50B8A" w:rsidP="00E50B8A">
      <w:pPr>
        <w:rPr>
          <w:sz w:val="24"/>
          <w:szCs w:val="24"/>
        </w:rPr>
      </w:pPr>
      <w:r w:rsidRPr="00203153">
        <w:rPr>
          <w:sz w:val="24"/>
          <w:szCs w:val="24"/>
        </w:rPr>
        <w:t xml:space="preserve">Migrant Information Centre </w:t>
      </w:r>
    </w:p>
    <w:p w14:paraId="0C70CE18" w14:textId="77777777" w:rsidR="00E50B8A" w:rsidRPr="00203153" w:rsidRDefault="00E50B8A" w:rsidP="00E50B8A">
      <w:pPr>
        <w:rPr>
          <w:sz w:val="24"/>
          <w:szCs w:val="24"/>
        </w:rPr>
      </w:pPr>
      <w:r w:rsidRPr="00203153">
        <w:rPr>
          <w:sz w:val="24"/>
          <w:szCs w:val="24"/>
        </w:rPr>
        <w:t xml:space="preserve">Monash University </w:t>
      </w:r>
    </w:p>
    <w:p w14:paraId="5E9F372C" w14:textId="77777777" w:rsidR="00E50B8A" w:rsidRPr="00203153" w:rsidRDefault="00E50B8A" w:rsidP="00E50B8A">
      <w:pPr>
        <w:rPr>
          <w:sz w:val="24"/>
          <w:szCs w:val="24"/>
        </w:rPr>
      </w:pPr>
      <w:proofErr w:type="spellStart"/>
      <w:r w:rsidRPr="00203153">
        <w:rPr>
          <w:sz w:val="24"/>
          <w:szCs w:val="24"/>
        </w:rPr>
        <w:t>Monkami</w:t>
      </w:r>
      <w:proofErr w:type="spellEnd"/>
      <w:r w:rsidRPr="00203153">
        <w:rPr>
          <w:sz w:val="24"/>
          <w:szCs w:val="24"/>
        </w:rPr>
        <w:t xml:space="preserve"> </w:t>
      </w:r>
    </w:p>
    <w:p w14:paraId="1D1485A1" w14:textId="77777777" w:rsidR="00E50B8A" w:rsidRPr="00203153" w:rsidRDefault="00E50B8A" w:rsidP="00E50B8A">
      <w:pPr>
        <w:rPr>
          <w:sz w:val="24"/>
          <w:szCs w:val="24"/>
        </w:rPr>
      </w:pPr>
      <w:r w:rsidRPr="00203153">
        <w:rPr>
          <w:sz w:val="24"/>
          <w:szCs w:val="24"/>
        </w:rPr>
        <w:t xml:space="preserve">Multicultural Centre for Women’s Health </w:t>
      </w:r>
    </w:p>
    <w:p w14:paraId="37572185" w14:textId="77777777" w:rsidR="00E50B8A" w:rsidRPr="00203153" w:rsidRDefault="00E50B8A" w:rsidP="00E50B8A">
      <w:pPr>
        <w:rPr>
          <w:sz w:val="24"/>
          <w:szCs w:val="24"/>
        </w:rPr>
      </w:pPr>
      <w:r w:rsidRPr="00203153">
        <w:rPr>
          <w:sz w:val="24"/>
          <w:szCs w:val="24"/>
        </w:rPr>
        <w:t xml:space="preserve">National Disability Insurance Agency (NDIA) </w:t>
      </w:r>
    </w:p>
    <w:p w14:paraId="24ADAF5A" w14:textId="77777777" w:rsidR="00E50B8A" w:rsidRPr="00203153" w:rsidRDefault="00E50B8A" w:rsidP="00E50B8A">
      <w:pPr>
        <w:rPr>
          <w:sz w:val="24"/>
          <w:szCs w:val="24"/>
        </w:rPr>
      </w:pPr>
      <w:r w:rsidRPr="00203153">
        <w:rPr>
          <w:sz w:val="24"/>
          <w:szCs w:val="24"/>
        </w:rPr>
        <w:t xml:space="preserve">Office for Women (OFW) </w:t>
      </w:r>
    </w:p>
    <w:p w14:paraId="362CE6D6" w14:textId="77777777" w:rsidR="00E50B8A" w:rsidRPr="00203153" w:rsidRDefault="00E50B8A" w:rsidP="00E50B8A">
      <w:pPr>
        <w:rPr>
          <w:sz w:val="24"/>
          <w:szCs w:val="24"/>
        </w:rPr>
      </w:pPr>
      <w:r w:rsidRPr="00203153">
        <w:rPr>
          <w:sz w:val="24"/>
          <w:szCs w:val="24"/>
        </w:rPr>
        <w:t xml:space="preserve">Our Watch </w:t>
      </w:r>
    </w:p>
    <w:p w14:paraId="73A08318" w14:textId="77777777" w:rsidR="00E50B8A" w:rsidRPr="00203153" w:rsidRDefault="00E50B8A" w:rsidP="00E50B8A">
      <w:pPr>
        <w:rPr>
          <w:sz w:val="24"/>
          <w:szCs w:val="24"/>
        </w:rPr>
      </w:pPr>
      <w:r w:rsidRPr="00203153">
        <w:rPr>
          <w:sz w:val="24"/>
          <w:szCs w:val="24"/>
        </w:rPr>
        <w:t xml:space="preserve">Paramedics College </w:t>
      </w:r>
    </w:p>
    <w:p w14:paraId="6FD22A60" w14:textId="77777777" w:rsidR="00E50B8A" w:rsidRPr="00203153" w:rsidRDefault="00E50B8A" w:rsidP="00E50B8A">
      <w:pPr>
        <w:rPr>
          <w:sz w:val="24"/>
          <w:szCs w:val="24"/>
        </w:rPr>
      </w:pPr>
      <w:r w:rsidRPr="00203153">
        <w:rPr>
          <w:sz w:val="24"/>
          <w:szCs w:val="24"/>
        </w:rPr>
        <w:t xml:space="preserve">Respect Victoria </w:t>
      </w:r>
    </w:p>
    <w:p w14:paraId="6CB08C0D" w14:textId="77777777" w:rsidR="00E50B8A" w:rsidRPr="00203153" w:rsidRDefault="00E50B8A" w:rsidP="00E50B8A">
      <w:pPr>
        <w:rPr>
          <w:sz w:val="24"/>
          <w:szCs w:val="24"/>
        </w:rPr>
      </w:pPr>
      <w:r w:rsidRPr="00203153">
        <w:rPr>
          <w:sz w:val="24"/>
          <w:szCs w:val="24"/>
        </w:rPr>
        <w:t xml:space="preserve">RMIT </w:t>
      </w:r>
    </w:p>
    <w:p w14:paraId="4BF9AD35" w14:textId="77777777" w:rsidR="00E50B8A" w:rsidRPr="00203153" w:rsidRDefault="00E50B8A" w:rsidP="00E50B8A">
      <w:pPr>
        <w:rPr>
          <w:sz w:val="24"/>
          <w:szCs w:val="24"/>
        </w:rPr>
      </w:pPr>
      <w:r w:rsidRPr="00203153">
        <w:rPr>
          <w:sz w:val="24"/>
          <w:szCs w:val="24"/>
        </w:rPr>
        <w:t xml:space="preserve">Royal Women’s Hospital </w:t>
      </w:r>
    </w:p>
    <w:p w14:paraId="4476A60B" w14:textId="77777777" w:rsidR="00E50B8A" w:rsidRPr="00203153" w:rsidRDefault="00E50B8A" w:rsidP="00E50B8A">
      <w:pPr>
        <w:rPr>
          <w:sz w:val="24"/>
          <w:szCs w:val="24"/>
        </w:rPr>
      </w:pPr>
      <w:r w:rsidRPr="00203153">
        <w:rPr>
          <w:sz w:val="24"/>
          <w:szCs w:val="24"/>
        </w:rPr>
        <w:t xml:space="preserve">Safe Steps </w:t>
      </w:r>
    </w:p>
    <w:p w14:paraId="274DF2F2" w14:textId="078EA97C" w:rsidR="00B76ED7" w:rsidRPr="00203153" w:rsidRDefault="00B76ED7" w:rsidP="00E50B8A">
      <w:pPr>
        <w:rPr>
          <w:sz w:val="24"/>
          <w:szCs w:val="24"/>
        </w:rPr>
      </w:pPr>
      <w:r w:rsidRPr="00203153">
        <w:rPr>
          <w:sz w:val="24"/>
          <w:szCs w:val="24"/>
        </w:rPr>
        <w:t>Scope Property Advisory</w:t>
      </w:r>
    </w:p>
    <w:p w14:paraId="16CCBB08" w14:textId="29D33967" w:rsidR="00E50B8A" w:rsidRPr="00203153" w:rsidRDefault="00E50B8A" w:rsidP="00E50B8A">
      <w:pPr>
        <w:rPr>
          <w:sz w:val="24"/>
          <w:szCs w:val="24"/>
        </w:rPr>
      </w:pPr>
      <w:r w:rsidRPr="00203153">
        <w:rPr>
          <w:sz w:val="24"/>
          <w:szCs w:val="24"/>
        </w:rPr>
        <w:t xml:space="preserve">Sexual Assault Services Victoria </w:t>
      </w:r>
    </w:p>
    <w:p w14:paraId="472FDCE0" w14:textId="77777777" w:rsidR="00E50B8A" w:rsidRPr="00203153" w:rsidRDefault="00E50B8A" w:rsidP="00E50B8A">
      <w:pPr>
        <w:rPr>
          <w:sz w:val="24"/>
          <w:szCs w:val="24"/>
        </w:rPr>
      </w:pPr>
      <w:proofErr w:type="gramStart"/>
      <w:r w:rsidRPr="00203153">
        <w:rPr>
          <w:sz w:val="24"/>
          <w:szCs w:val="24"/>
        </w:rPr>
        <w:t>South West</w:t>
      </w:r>
      <w:proofErr w:type="gramEnd"/>
      <w:r w:rsidRPr="00203153">
        <w:rPr>
          <w:sz w:val="24"/>
          <w:szCs w:val="24"/>
        </w:rPr>
        <w:t xml:space="preserve"> Advocacy Association </w:t>
      </w:r>
    </w:p>
    <w:p w14:paraId="232605E2" w14:textId="52B035A8" w:rsidR="00E50B8A" w:rsidRPr="00203153" w:rsidRDefault="00E50B8A" w:rsidP="00E50B8A">
      <w:pPr>
        <w:rPr>
          <w:sz w:val="24"/>
          <w:szCs w:val="24"/>
        </w:rPr>
      </w:pPr>
      <w:r w:rsidRPr="00203153">
        <w:rPr>
          <w:sz w:val="24"/>
          <w:szCs w:val="24"/>
        </w:rPr>
        <w:t>Sparke Helmore</w:t>
      </w:r>
      <w:r w:rsidR="00B76ED7" w:rsidRPr="00203153">
        <w:rPr>
          <w:sz w:val="24"/>
          <w:szCs w:val="24"/>
        </w:rPr>
        <w:t xml:space="preserve"> Lawyers</w:t>
      </w:r>
    </w:p>
    <w:p w14:paraId="3C8BCDE3" w14:textId="77777777" w:rsidR="00E50B8A" w:rsidRPr="00203153" w:rsidRDefault="00E50B8A" w:rsidP="00E50B8A">
      <w:pPr>
        <w:rPr>
          <w:sz w:val="24"/>
          <w:szCs w:val="24"/>
        </w:rPr>
      </w:pPr>
      <w:r w:rsidRPr="00203153">
        <w:rPr>
          <w:sz w:val="24"/>
          <w:szCs w:val="24"/>
        </w:rPr>
        <w:t xml:space="preserve">State Government of Victoria </w:t>
      </w:r>
    </w:p>
    <w:p w14:paraId="5A664ACA" w14:textId="77777777" w:rsidR="00E50B8A" w:rsidRPr="00203153" w:rsidRDefault="00E50B8A" w:rsidP="00E50B8A">
      <w:pPr>
        <w:rPr>
          <w:sz w:val="24"/>
          <w:szCs w:val="24"/>
        </w:rPr>
      </w:pPr>
      <w:r w:rsidRPr="00203153">
        <w:rPr>
          <w:sz w:val="24"/>
          <w:szCs w:val="24"/>
        </w:rPr>
        <w:t xml:space="preserve">Switchboard </w:t>
      </w:r>
    </w:p>
    <w:p w14:paraId="2150129B" w14:textId="77777777" w:rsidR="00E50B8A" w:rsidRPr="00203153" w:rsidRDefault="00E50B8A" w:rsidP="00E50B8A">
      <w:pPr>
        <w:rPr>
          <w:sz w:val="24"/>
          <w:szCs w:val="24"/>
        </w:rPr>
      </w:pPr>
      <w:r w:rsidRPr="00203153">
        <w:rPr>
          <w:sz w:val="24"/>
          <w:szCs w:val="24"/>
        </w:rPr>
        <w:t xml:space="preserve">The University of Melbourne </w:t>
      </w:r>
    </w:p>
    <w:p w14:paraId="17E69B61" w14:textId="77777777" w:rsidR="00E50B8A" w:rsidRPr="00203153" w:rsidRDefault="00E50B8A" w:rsidP="00E50B8A">
      <w:pPr>
        <w:rPr>
          <w:sz w:val="24"/>
          <w:szCs w:val="24"/>
        </w:rPr>
      </w:pPr>
      <w:r w:rsidRPr="00203153">
        <w:rPr>
          <w:sz w:val="24"/>
          <w:szCs w:val="24"/>
        </w:rPr>
        <w:lastRenderedPageBreak/>
        <w:t xml:space="preserve">University of New South Wales (UNSW) </w:t>
      </w:r>
    </w:p>
    <w:p w14:paraId="04E38E44" w14:textId="77777777" w:rsidR="00E50B8A" w:rsidRPr="00203153" w:rsidRDefault="00E50B8A" w:rsidP="00E50B8A">
      <w:pPr>
        <w:rPr>
          <w:sz w:val="24"/>
          <w:szCs w:val="24"/>
        </w:rPr>
      </w:pPr>
      <w:r w:rsidRPr="00203153">
        <w:rPr>
          <w:sz w:val="24"/>
          <w:szCs w:val="24"/>
        </w:rPr>
        <w:t xml:space="preserve">Victorian Council </w:t>
      </w:r>
      <w:proofErr w:type="gramStart"/>
      <w:r w:rsidRPr="00203153">
        <w:rPr>
          <w:sz w:val="24"/>
          <w:szCs w:val="24"/>
        </w:rPr>
        <w:t>Of</w:t>
      </w:r>
      <w:proofErr w:type="gramEnd"/>
      <w:r w:rsidRPr="00203153">
        <w:rPr>
          <w:sz w:val="24"/>
          <w:szCs w:val="24"/>
        </w:rPr>
        <w:t xml:space="preserve"> Social Services</w:t>
      </w:r>
    </w:p>
    <w:p w14:paraId="28D578C2" w14:textId="77777777" w:rsidR="00E50B8A" w:rsidRPr="00203153" w:rsidRDefault="00E50B8A" w:rsidP="00E50B8A">
      <w:pPr>
        <w:rPr>
          <w:sz w:val="24"/>
          <w:szCs w:val="24"/>
        </w:rPr>
      </w:pPr>
      <w:r w:rsidRPr="00203153">
        <w:rPr>
          <w:sz w:val="24"/>
          <w:szCs w:val="24"/>
        </w:rPr>
        <w:t xml:space="preserve">Victoria Police </w:t>
      </w:r>
    </w:p>
    <w:p w14:paraId="20866AD8" w14:textId="77777777" w:rsidR="00E50B8A" w:rsidRPr="00203153" w:rsidRDefault="00E50B8A" w:rsidP="00E50B8A">
      <w:pPr>
        <w:rPr>
          <w:sz w:val="24"/>
          <w:szCs w:val="24"/>
        </w:rPr>
      </w:pPr>
      <w:r w:rsidRPr="00203153">
        <w:rPr>
          <w:sz w:val="24"/>
          <w:szCs w:val="24"/>
        </w:rPr>
        <w:t xml:space="preserve">Vision Australia Radio </w:t>
      </w:r>
    </w:p>
    <w:p w14:paraId="5FBD9511" w14:textId="77777777" w:rsidR="00E50B8A" w:rsidRPr="00203153" w:rsidRDefault="00E50B8A" w:rsidP="00E50B8A">
      <w:pPr>
        <w:rPr>
          <w:sz w:val="24"/>
          <w:szCs w:val="24"/>
        </w:rPr>
      </w:pPr>
      <w:r w:rsidRPr="00203153">
        <w:rPr>
          <w:sz w:val="24"/>
          <w:szCs w:val="24"/>
        </w:rPr>
        <w:t xml:space="preserve">Victorian Law Reform Commission </w:t>
      </w:r>
    </w:p>
    <w:p w14:paraId="070C9AA6" w14:textId="77777777" w:rsidR="00E50B8A" w:rsidRPr="00203153" w:rsidRDefault="00E50B8A" w:rsidP="00E50B8A">
      <w:pPr>
        <w:rPr>
          <w:sz w:val="24"/>
          <w:szCs w:val="24"/>
        </w:rPr>
      </w:pPr>
      <w:r w:rsidRPr="00203153">
        <w:rPr>
          <w:sz w:val="24"/>
          <w:szCs w:val="24"/>
        </w:rPr>
        <w:t xml:space="preserve">Women’s Health Victoria (WHV) </w:t>
      </w:r>
    </w:p>
    <w:p w14:paraId="0995943F" w14:textId="77777777" w:rsidR="00E50B8A" w:rsidRPr="00203153" w:rsidRDefault="00E50B8A" w:rsidP="00E50B8A">
      <w:pPr>
        <w:rPr>
          <w:sz w:val="24"/>
          <w:szCs w:val="24"/>
        </w:rPr>
      </w:pPr>
      <w:r w:rsidRPr="00203153">
        <w:rPr>
          <w:sz w:val="24"/>
          <w:szCs w:val="24"/>
        </w:rPr>
        <w:t xml:space="preserve">Women’s Information and Referral Exchange Inc </w:t>
      </w:r>
    </w:p>
    <w:p w14:paraId="4A64E25E" w14:textId="77777777" w:rsidR="00E50B8A" w:rsidRPr="00203153" w:rsidRDefault="00E50B8A" w:rsidP="00E50B8A">
      <w:pPr>
        <w:rPr>
          <w:sz w:val="24"/>
          <w:szCs w:val="24"/>
        </w:rPr>
      </w:pPr>
      <w:r w:rsidRPr="00203153">
        <w:rPr>
          <w:sz w:val="24"/>
          <w:szCs w:val="24"/>
        </w:rPr>
        <w:t xml:space="preserve">Women’s Health East </w:t>
      </w:r>
    </w:p>
    <w:p w14:paraId="1B4D13CE" w14:textId="77777777" w:rsidR="00E50B8A" w:rsidRPr="00203153" w:rsidRDefault="00E50B8A" w:rsidP="00E50B8A">
      <w:pPr>
        <w:rPr>
          <w:sz w:val="24"/>
          <w:szCs w:val="24"/>
        </w:rPr>
      </w:pPr>
      <w:r w:rsidRPr="00203153">
        <w:rPr>
          <w:sz w:val="24"/>
          <w:szCs w:val="24"/>
        </w:rPr>
        <w:t xml:space="preserve">Women’s Health Goulburn </w:t>
      </w:r>
      <w:proofErr w:type="spellStart"/>
      <w:r w:rsidRPr="00203153">
        <w:rPr>
          <w:sz w:val="24"/>
          <w:szCs w:val="24"/>
        </w:rPr>
        <w:t>NorthEast</w:t>
      </w:r>
      <w:proofErr w:type="spellEnd"/>
      <w:r w:rsidRPr="00203153">
        <w:rPr>
          <w:sz w:val="24"/>
          <w:szCs w:val="24"/>
        </w:rPr>
        <w:t xml:space="preserve"> </w:t>
      </w:r>
    </w:p>
    <w:p w14:paraId="76FD8FA3" w14:textId="77777777" w:rsidR="00E50B8A" w:rsidRPr="00203153" w:rsidRDefault="00E50B8A" w:rsidP="00E50B8A">
      <w:pPr>
        <w:rPr>
          <w:sz w:val="24"/>
          <w:szCs w:val="24"/>
        </w:rPr>
      </w:pPr>
      <w:r w:rsidRPr="00203153">
        <w:rPr>
          <w:sz w:val="24"/>
          <w:szCs w:val="24"/>
        </w:rPr>
        <w:t xml:space="preserve">Women’s Health Grampians </w:t>
      </w:r>
    </w:p>
    <w:p w14:paraId="787C5D31" w14:textId="77777777" w:rsidR="00E50B8A" w:rsidRPr="00203153" w:rsidRDefault="00E50B8A" w:rsidP="00E50B8A">
      <w:pPr>
        <w:rPr>
          <w:sz w:val="24"/>
          <w:szCs w:val="24"/>
        </w:rPr>
      </w:pPr>
      <w:r w:rsidRPr="00203153">
        <w:rPr>
          <w:sz w:val="24"/>
          <w:szCs w:val="24"/>
        </w:rPr>
        <w:t xml:space="preserve">Women’s Health </w:t>
      </w:r>
      <w:proofErr w:type="spellStart"/>
      <w:r w:rsidRPr="00203153">
        <w:rPr>
          <w:sz w:val="24"/>
          <w:szCs w:val="24"/>
        </w:rPr>
        <w:t>Lodden</w:t>
      </w:r>
      <w:proofErr w:type="spellEnd"/>
      <w:r w:rsidRPr="00203153">
        <w:rPr>
          <w:sz w:val="24"/>
          <w:szCs w:val="24"/>
        </w:rPr>
        <w:t xml:space="preserve"> Mallee </w:t>
      </w:r>
    </w:p>
    <w:p w14:paraId="5610201A" w14:textId="77777777" w:rsidR="00E50B8A" w:rsidRPr="00203153" w:rsidRDefault="00E50B8A" w:rsidP="00E50B8A">
      <w:pPr>
        <w:rPr>
          <w:sz w:val="24"/>
          <w:szCs w:val="24"/>
        </w:rPr>
      </w:pPr>
      <w:r w:rsidRPr="00203153">
        <w:rPr>
          <w:sz w:val="24"/>
          <w:szCs w:val="24"/>
        </w:rPr>
        <w:t xml:space="preserve">Women’s Legal Service Victoria </w:t>
      </w:r>
    </w:p>
    <w:p w14:paraId="43AC76A9" w14:textId="77777777" w:rsidR="00E50B8A" w:rsidRPr="00203153" w:rsidRDefault="00E50B8A" w:rsidP="00E50B8A">
      <w:pPr>
        <w:rPr>
          <w:sz w:val="24"/>
          <w:szCs w:val="24"/>
        </w:rPr>
      </w:pPr>
      <w:r w:rsidRPr="00203153">
        <w:rPr>
          <w:sz w:val="24"/>
          <w:szCs w:val="24"/>
        </w:rPr>
        <w:t xml:space="preserve">Wyndham City Council </w:t>
      </w:r>
    </w:p>
    <w:p w14:paraId="4A511CD7" w14:textId="77777777" w:rsidR="00E50B8A" w:rsidRPr="00203153" w:rsidRDefault="00E50B8A" w:rsidP="00E50B8A">
      <w:pPr>
        <w:rPr>
          <w:sz w:val="24"/>
          <w:szCs w:val="24"/>
        </w:rPr>
      </w:pPr>
      <w:r w:rsidRPr="00203153">
        <w:rPr>
          <w:sz w:val="24"/>
          <w:szCs w:val="24"/>
        </w:rPr>
        <w:t xml:space="preserve">Yarra Ranges Council </w:t>
      </w:r>
    </w:p>
    <w:p w14:paraId="6A762EA3" w14:textId="555FCF1C" w:rsidR="003613B9" w:rsidRPr="00203153" w:rsidRDefault="00E50B8A" w:rsidP="00E50B8A">
      <w:pPr>
        <w:rPr>
          <w:sz w:val="24"/>
          <w:szCs w:val="24"/>
        </w:rPr>
      </w:pPr>
      <w:r w:rsidRPr="00203153">
        <w:rPr>
          <w:sz w:val="24"/>
          <w:szCs w:val="24"/>
        </w:rPr>
        <w:t>Your Story Disability Legal Support Service</w:t>
      </w:r>
    </w:p>
    <w:p w14:paraId="57995184" w14:textId="72360CAC" w:rsidR="009F38B5" w:rsidRDefault="009F38B5" w:rsidP="00E50B8A"/>
    <w:p w14:paraId="76BA3373" w14:textId="77777777" w:rsidR="00805BDA" w:rsidRDefault="00805BDA" w:rsidP="00805BDA">
      <w:pPr>
        <w:pStyle w:val="Heading3"/>
      </w:pPr>
      <w:r>
        <w:t>Thank you to the following donors who supported WDV this year</w:t>
      </w:r>
    </w:p>
    <w:p w14:paraId="6054B44B" w14:textId="77777777" w:rsidR="00805BDA" w:rsidRDefault="00805BDA" w:rsidP="00805BDA"/>
    <w:p w14:paraId="2C958248" w14:textId="77777777" w:rsidR="00805BDA" w:rsidRPr="00203153" w:rsidRDefault="00805BDA" w:rsidP="00805BDA">
      <w:pPr>
        <w:rPr>
          <w:sz w:val="24"/>
          <w:szCs w:val="24"/>
        </w:rPr>
      </w:pPr>
      <w:r w:rsidRPr="00203153">
        <w:rPr>
          <w:sz w:val="24"/>
          <w:szCs w:val="24"/>
        </w:rPr>
        <w:t>Suzanne Lau-Gooey</w:t>
      </w:r>
    </w:p>
    <w:p w14:paraId="7EB3C03F" w14:textId="77777777" w:rsidR="00805BDA" w:rsidRPr="00203153" w:rsidRDefault="00805BDA" w:rsidP="00805BDA">
      <w:pPr>
        <w:rPr>
          <w:sz w:val="24"/>
          <w:szCs w:val="24"/>
        </w:rPr>
      </w:pPr>
      <w:r w:rsidRPr="00203153">
        <w:rPr>
          <w:sz w:val="24"/>
          <w:szCs w:val="24"/>
        </w:rPr>
        <w:t>Tessa Walsh</w:t>
      </w:r>
    </w:p>
    <w:p w14:paraId="50E324A6" w14:textId="77777777" w:rsidR="00805BDA" w:rsidRPr="00203153" w:rsidRDefault="00805BDA" w:rsidP="00805BDA">
      <w:pPr>
        <w:rPr>
          <w:sz w:val="24"/>
          <w:szCs w:val="24"/>
        </w:rPr>
      </w:pPr>
      <w:r w:rsidRPr="00203153">
        <w:rPr>
          <w:sz w:val="24"/>
          <w:szCs w:val="24"/>
        </w:rPr>
        <w:t>Jemma Swan</w:t>
      </w:r>
    </w:p>
    <w:p w14:paraId="3501E692" w14:textId="77777777" w:rsidR="00805BDA" w:rsidRPr="00203153" w:rsidRDefault="00805BDA" w:rsidP="00805BDA">
      <w:pPr>
        <w:rPr>
          <w:sz w:val="24"/>
          <w:szCs w:val="24"/>
        </w:rPr>
      </w:pPr>
      <w:proofErr w:type="spellStart"/>
      <w:r w:rsidRPr="00203153">
        <w:rPr>
          <w:sz w:val="24"/>
          <w:szCs w:val="24"/>
        </w:rPr>
        <w:t>Kedar</w:t>
      </w:r>
      <w:proofErr w:type="spellEnd"/>
      <w:r w:rsidRPr="00203153">
        <w:rPr>
          <w:sz w:val="24"/>
          <w:szCs w:val="24"/>
        </w:rPr>
        <w:tab/>
      </w:r>
      <w:proofErr w:type="spellStart"/>
      <w:r w:rsidRPr="00203153">
        <w:rPr>
          <w:sz w:val="24"/>
          <w:szCs w:val="24"/>
        </w:rPr>
        <w:t>Ghalasasi</w:t>
      </w:r>
      <w:proofErr w:type="spellEnd"/>
    </w:p>
    <w:p w14:paraId="24F748F4" w14:textId="77777777" w:rsidR="00805BDA" w:rsidRPr="00203153" w:rsidRDefault="00805BDA" w:rsidP="00805BDA">
      <w:pPr>
        <w:rPr>
          <w:sz w:val="24"/>
          <w:szCs w:val="24"/>
        </w:rPr>
      </w:pPr>
      <w:proofErr w:type="spellStart"/>
      <w:r w:rsidRPr="00203153">
        <w:rPr>
          <w:sz w:val="24"/>
          <w:szCs w:val="24"/>
        </w:rPr>
        <w:t>Airi</w:t>
      </w:r>
      <w:proofErr w:type="spellEnd"/>
      <w:r w:rsidRPr="00203153">
        <w:rPr>
          <w:sz w:val="24"/>
          <w:szCs w:val="24"/>
        </w:rPr>
        <w:t xml:space="preserve"> Oishi</w:t>
      </w:r>
    </w:p>
    <w:p w14:paraId="3DB69148" w14:textId="77777777" w:rsidR="00805BDA" w:rsidRDefault="00805BDA" w:rsidP="00805BDA"/>
    <w:p w14:paraId="1FF04C6D" w14:textId="08E9D54E" w:rsidR="00805BDA" w:rsidRDefault="00805BDA" w:rsidP="00805BDA">
      <w:pPr>
        <w:pStyle w:val="Heading3"/>
      </w:pPr>
      <w:r>
        <w:br w:type="column"/>
      </w:r>
      <w:r>
        <w:t>WDV Regional Hub Partners</w:t>
      </w:r>
    </w:p>
    <w:p w14:paraId="60B0C032" w14:textId="77777777" w:rsidR="00805BDA" w:rsidRDefault="00805BDA" w:rsidP="00805BDA"/>
    <w:p w14:paraId="2F97B577" w14:textId="77777777" w:rsidR="00B76ED7" w:rsidRPr="00203153" w:rsidRDefault="00805BDA" w:rsidP="00805BDA">
      <w:pPr>
        <w:rPr>
          <w:sz w:val="24"/>
          <w:szCs w:val="24"/>
        </w:rPr>
      </w:pPr>
      <w:r w:rsidRPr="00203153">
        <w:rPr>
          <w:sz w:val="24"/>
          <w:szCs w:val="24"/>
        </w:rPr>
        <w:t>Cobram Community House</w:t>
      </w:r>
    </w:p>
    <w:p w14:paraId="764923A7" w14:textId="4A3D5FF9" w:rsidR="00805BDA" w:rsidRPr="00203153" w:rsidRDefault="00805BDA" w:rsidP="00805BDA">
      <w:pPr>
        <w:rPr>
          <w:sz w:val="24"/>
          <w:szCs w:val="24"/>
        </w:rPr>
      </w:pPr>
      <w:r w:rsidRPr="00203153">
        <w:rPr>
          <w:sz w:val="24"/>
          <w:szCs w:val="24"/>
        </w:rPr>
        <w:t>Geelong Region Alliance G21</w:t>
      </w:r>
    </w:p>
    <w:p w14:paraId="18B59F4C" w14:textId="27BF5AEB" w:rsidR="00805BDA" w:rsidRPr="00203153" w:rsidRDefault="00805BDA" w:rsidP="00805BDA">
      <w:pPr>
        <w:rPr>
          <w:sz w:val="24"/>
          <w:szCs w:val="24"/>
        </w:rPr>
      </w:pPr>
      <w:proofErr w:type="gramStart"/>
      <w:r w:rsidRPr="00203153">
        <w:rPr>
          <w:sz w:val="24"/>
          <w:szCs w:val="24"/>
        </w:rPr>
        <w:t>South West</w:t>
      </w:r>
      <w:proofErr w:type="gramEnd"/>
      <w:r w:rsidRPr="00203153">
        <w:rPr>
          <w:sz w:val="24"/>
          <w:szCs w:val="24"/>
        </w:rPr>
        <w:t xml:space="preserve"> Advocacy Association</w:t>
      </w:r>
    </w:p>
    <w:p w14:paraId="1E9105B1" w14:textId="53972977" w:rsidR="00805BDA" w:rsidRPr="00203153" w:rsidRDefault="00805BDA" w:rsidP="00805BDA">
      <w:pPr>
        <w:rPr>
          <w:sz w:val="24"/>
          <w:szCs w:val="24"/>
        </w:rPr>
      </w:pPr>
      <w:proofErr w:type="spellStart"/>
      <w:r w:rsidRPr="00203153">
        <w:rPr>
          <w:sz w:val="24"/>
          <w:szCs w:val="24"/>
        </w:rPr>
        <w:t>Coonara</w:t>
      </w:r>
      <w:proofErr w:type="spellEnd"/>
      <w:r w:rsidRPr="00203153">
        <w:rPr>
          <w:sz w:val="24"/>
          <w:szCs w:val="24"/>
        </w:rPr>
        <w:t xml:space="preserve"> Community House</w:t>
      </w:r>
    </w:p>
    <w:p w14:paraId="691E9916" w14:textId="0708BBB1" w:rsidR="00A00E36" w:rsidRDefault="00A00E36" w:rsidP="00805BDA"/>
    <w:p w14:paraId="5EEDCE37" w14:textId="3FF97F60" w:rsidR="00A00E36" w:rsidRDefault="00A00E36" w:rsidP="00805BDA"/>
    <w:p w14:paraId="664009F1" w14:textId="77777777" w:rsidR="004A6831" w:rsidRDefault="004A6831" w:rsidP="004A6831">
      <w:pPr>
        <w:spacing w:line="276" w:lineRule="auto"/>
        <w:sectPr w:rsidR="004A6831" w:rsidSect="0019336D">
          <w:type w:val="continuous"/>
          <w:pgSz w:w="11906" w:h="16838" w:code="9"/>
          <w:pgMar w:top="992" w:right="851" w:bottom="992" w:left="851" w:header="567" w:footer="567" w:gutter="0"/>
          <w:cols w:num="2" w:space="284"/>
          <w:docGrid w:linePitch="360"/>
        </w:sectPr>
      </w:pPr>
    </w:p>
    <w:p w14:paraId="63DE1DAE" w14:textId="5DC6DBC4" w:rsidR="00A00E36" w:rsidRDefault="004A6831" w:rsidP="004A6831">
      <w:pPr>
        <w:pStyle w:val="Heading1"/>
      </w:pPr>
      <w:r>
        <w:lastRenderedPageBreak/>
        <w:t>Financial Statements</w:t>
      </w:r>
    </w:p>
    <w:p w14:paraId="30E9D48E" w14:textId="158C2A13" w:rsidR="004A6831" w:rsidRDefault="004A6831" w:rsidP="004A6831"/>
    <w:p w14:paraId="6C659CE2" w14:textId="77777777" w:rsidR="004A6831" w:rsidRPr="00203153" w:rsidRDefault="004A6831" w:rsidP="004A6831">
      <w:pPr>
        <w:rPr>
          <w:sz w:val="24"/>
          <w:szCs w:val="24"/>
        </w:rPr>
      </w:pPr>
      <w:r w:rsidRPr="00203153">
        <w:rPr>
          <w:sz w:val="24"/>
          <w:szCs w:val="24"/>
        </w:rPr>
        <w:t>The WDV Board and Finance &amp; Risk Committee continued to strengthen WDV’s financial position</w:t>
      </w:r>
      <w:proofErr w:type="gramStart"/>
      <w:r w:rsidRPr="00203153">
        <w:rPr>
          <w:sz w:val="24"/>
          <w:szCs w:val="24"/>
        </w:rPr>
        <w:t xml:space="preserve">.  </w:t>
      </w:r>
      <w:proofErr w:type="gramEnd"/>
      <w:r w:rsidRPr="00203153">
        <w:rPr>
          <w:sz w:val="24"/>
          <w:szCs w:val="24"/>
        </w:rPr>
        <w:t xml:space="preserve"> </w:t>
      </w:r>
    </w:p>
    <w:p w14:paraId="1140752D" w14:textId="77777777" w:rsidR="004A6831" w:rsidRPr="00203153" w:rsidRDefault="004A6831" w:rsidP="004A6831">
      <w:pPr>
        <w:rPr>
          <w:sz w:val="24"/>
          <w:szCs w:val="24"/>
        </w:rPr>
      </w:pPr>
      <w:r w:rsidRPr="00203153">
        <w:rPr>
          <w:sz w:val="24"/>
          <w:szCs w:val="24"/>
        </w:rPr>
        <w:t xml:space="preserve">WDV is in a strong financial position, and we </w:t>
      </w:r>
      <w:proofErr w:type="gramStart"/>
      <w:r w:rsidRPr="00203153">
        <w:rPr>
          <w:sz w:val="24"/>
          <w:szCs w:val="24"/>
        </w:rPr>
        <w:t>are able to</w:t>
      </w:r>
      <w:proofErr w:type="gramEnd"/>
      <w:r w:rsidRPr="00203153">
        <w:rPr>
          <w:sz w:val="24"/>
          <w:szCs w:val="24"/>
        </w:rPr>
        <w:t xml:space="preserve"> pay our debts if and when they are due.</w:t>
      </w:r>
    </w:p>
    <w:p w14:paraId="70DC088D" w14:textId="77777777" w:rsidR="004A6831" w:rsidRPr="00203153" w:rsidRDefault="004A6831" w:rsidP="004A6831">
      <w:pPr>
        <w:rPr>
          <w:sz w:val="24"/>
          <w:szCs w:val="24"/>
        </w:rPr>
      </w:pPr>
      <w:r w:rsidRPr="00203153">
        <w:rPr>
          <w:sz w:val="24"/>
          <w:szCs w:val="24"/>
        </w:rPr>
        <w:t xml:space="preserve">The </w:t>
      </w:r>
      <w:r w:rsidRPr="00203153">
        <w:rPr>
          <w:rStyle w:val="BoldPurple"/>
          <w:sz w:val="24"/>
          <w:szCs w:val="24"/>
        </w:rPr>
        <w:t>Profit and Loss Statement</w:t>
      </w:r>
      <w:r w:rsidRPr="00203153">
        <w:rPr>
          <w:sz w:val="24"/>
          <w:szCs w:val="24"/>
        </w:rPr>
        <w:t xml:space="preserve"> shows a surplus (gain) of $444,494.00 in the 2020/21 financial year.</w:t>
      </w:r>
    </w:p>
    <w:p w14:paraId="4440F4D2" w14:textId="77777777" w:rsidR="004A6831" w:rsidRPr="00203153" w:rsidRDefault="004A6831" w:rsidP="004A6831">
      <w:pPr>
        <w:rPr>
          <w:sz w:val="24"/>
          <w:szCs w:val="24"/>
        </w:rPr>
      </w:pPr>
      <w:r w:rsidRPr="00203153">
        <w:rPr>
          <w:rStyle w:val="BoldPurple"/>
          <w:sz w:val="24"/>
          <w:szCs w:val="24"/>
        </w:rPr>
        <w:t>Revenue</w:t>
      </w:r>
      <w:r w:rsidRPr="00203153">
        <w:rPr>
          <w:sz w:val="24"/>
          <w:szCs w:val="24"/>
        </w:rPr>
        <w:t xml:space="preserve"> (money coming in) for this year was $2,499,459.00, an increase of $683,613.00 from last year</w:t>
      </w:r>
      <w:proofErr w:type="gramStart"/>
      <w:r w:rsidRPr="00203153">
        <w:rPr>
          <w:sz w:val="24"/>
          <w:szCs w:val="24"/>
        </w:rPr>
        <w:t xml:space="preserve">.  </w:t>
      </w:r>
      <w:proofErr w:type="gramEnd"/>
    </w:p>
    <w:p w14:paraId="0AFCEFD6" w14:textId="77777777" w:rsidR="004A6831" w:rsidRPr="00203153" w:rsidRDefault="004A6831" w:rsidP="004A6831">
      <w:pPr>
        <w:rPr>
          <w:sz w:val="24"/>
          <w:szCs w:val="24"/>
        </w:rPr>
      </w:pPr>
      <w:r w:rsidRPr="00203153">
        <w:rPr>
          <w:rStyle w:val="Heading4Char"/>
          <w:sz w:val="24"/>
        </w:rPr>
        <w:t>Expenses</w:t>
      </w:r>
      <w:r w:rsidRPr="00203153">
        <w:rPr>
          <w:sz w:val="24"/>
          <w:szCs w:val="24"/>
        </w:rPr>
        <w:t xml:space="preserve"> (money going out) for this year was $2,054,965.00, an increase of $174,236.00 from last year</w:t>
      </w:r>
      <w:proofErr w:type="gramStart"/>
      <w:r w:rsidRPr="00203153">
        <w:rPr>
          <w:sz w:val="24"/>
          <w:szCs w:val="24"/>
        </w:rPr>
        <w:t xml:space="preserve">.  </w:t>
      </w:r>
      <w:proofErr w:type="gramEnd"/>
    </w:p>
    <w:p w14:paraId="2489AC87" w14:textId="05A39AAF" w:rsidR="004A6831" w:rsidRPr="00203153" w:rsidRDefault="004A6831" w:rsidP="004A6831">
      <w:pPr>
        <w:rPr>
          <w:sz w:val="24"/>
          <w:szCs w:val="24"/>
        </w:rPr>
      </w:pPr>
      <w:r w:rsidRPr="00203153">
        <w:rPr>
          <w:rStyle w:val="BoldPurple"/>
          <w:sz w:val="24"/>
          <w:szCs w:val="24"/>
        </w:rPr>
        <w:t>Equity</w:t>
      </w:r>
      <w:r w:rsidRPr="00203153">
        <w:rPr>
          <w:sz w:val="24"/>
          <w:szCs w:val="24"/>
        </w:rPr>
        <w:t xml:space="preserve"> (value of WDV) for this year was $1,774,756.00, an increase of $444,495.00 from last year. </w:t>
      </w:r>
    </w:p>
    <w:p w14:paraId="50AC6AF8" w14:textId="77777777" w:rsidR="004A6831" w:rsidRPr="00203153" w:rsidRDefault="004A6831" w:rsidP="004A6831">
      <w:pPr>
        <w:rPr>
          <w:sz w:val="24"/>
          <w:szCs w:val="24"/>
        </w:rPr>
      </w:pPr>
      <w:r w:rsidRPr="00203153">
        <w:rPr>
          <w:sz w:val="24"/>
          <w:szCs w:val="24"/>
        </w:rPr>
        <w:t xml:space="preserve">This year </w:t>
      </w:r>
      <w:r w:rsidRPr="00203153">
        <w:rPr>
          <w:rStyle w:val="BoldPurple"/>
          <w:sz w:val="24"/>
          <w:szCs w:val="24"/>
        </w:rPr>
        <w:t>Current Assets</w:t>
      </w:r>
      <w:r w:rsidRPr="00203153">
        <w:rPr>
          <w:sz w:val="24"/>
          <w:szCs w:val="24"/>
        </w:rPr>
        <w:t xml:space="preserve"> are $2,947,192.00, which is equal to 2.87 times our </w:t>
      </w:r>
      <w:r w:rsidRPr="00203153">
        <w:rPr>
          <w:rStyle w:val="BoldPurple"/>
          <w:sz w:val="24"/>
          <w:szCs w:val="24"/>
        </w:rPr>
        <w:t>Current Liabilities</w:t>
      </w:r>
      <w:r w:rsidRPr="00203153">
        <w:rPr>
          <w:sz w:val="24"/>
          <w:szCs w:val="24"/>
        </w:rPr>
        <w:t xml:space="preserve"> of $1,026,947.00. This is a healthy position</w:t>
      </w:r>
      <w:proofErr w:type="gramStart"/>
      <w:r w:rsidRPr="00203153">
        <w:rPr>
          <w:sz w:val="24"/>
          <w:szCs w:val="24"/>
        </w:rPr>
        <w:t xml:space="preserve">.  </w:t>
      </w:r>
      <w:proofErr w:type="gramEnd"/>
    </w:p>
    <w:p w14:paraId="3D36D040" w14:textId="7804EE4F" w:rsidR="004A6831" w:rsidRDefault="004A6831" w:rsidP="004A6831">
      <w:r w:rsidRPr="00203153">
        <w:rPr>
          <w:rStyle w:val="BoldPurple"/>
          <w:sz w:val="24"/>
          <w:szCs w:val="24"/>
        </w:rPr>
        <w:t>Cash Reserves</w:t>
      </w:r>
      <w:r w:rsidRPr="00203153">
        <w:rPr>
          <w:sz w:val="24"/>
          <w:szCs w:val="24"/>
        </w:rPr>
        <w:t xml:space="preserve"> increased this year to $2,899,039.00 an increase of $136,981.00 from last year.</w:t>
      </w:r>
    </w:p>
    <w:p w14:paraId="592015A3" w14:textId="77777777" w:rsidR="00A07C5F" w:rsidRDefault="00D70AB8" w:rsidP="00A07C5F">
      <w:pPr>
        <w:pStyle w:val="Heading3"/>
      </w:pPr>
      <w:r>
        <w:br w:type="column"/>
      </w:r>
    </w:p>
    <w:p w14:paraId="584A8AED" w14:textId="77777777" w:rsidR="00A07C5F" w:rsidRDefault="00A07C5F" w:rsidP="00A07C5F">
      <w:pPr>
        <w:pStyle w:val="Heading3"/>
      </w:pPr>
    </w:p>
    <w:p w14:paraId="611033DB" w14:textId="3EC07C31" w:rsidR="00A07C5F" w:rsidRDefault="00A07C5F" w:rsidP="00A07C5F">
      <w:pPr>
        <w:pStyle w:val="Heading3"/>
      </w:pPr>
      <w:r>
        <w:t>Statement of profit or loss</w:t>
      </w:r>
    </w:p>
    <w:p w14:paraId="70374EEC" w14:textId="53BC81C7" w:rsidR="00D70AB8" w:rsidRDefault="00A07C5F" w:rsidP="00A07C5F">
      <w:pPr>
        <w:rPr>
          <w:rStyle w:val="Strong"/>
        </w:rPr>
      </w:pPr>
      <w:r w:rsidRPr="00A07C5F">
        <w:rPr>
          <w:rStyle w:val="Strong"/>
        </w:rPr>
        <w:t>and other comprehensive income for the year ended 30 June 2021</w:t>
      </w:r>
    </w:p>
    <w:p w14:paraId="01CB913A" w14:textId="2DCF483B" w:rsidR="00A07C5F" w:rsidRDefault="00A07C5F" w:rsidP="0066431E"/>
    <w:tbl>
      <w:tblPr>
        <w:tblStyle w:val="TableGrid"/>
        <w:tblW w:w="5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18"/>
        <w:gridCol w:w="1452"/>
        <w:gridCol w:w="1452"/>
      </w:tblGrid>
      <w:tr w:rsidR="00F43A71" w14:paraId="10B49420" w14:textId="77777777" w:rsidTr="00B33BF6">
        <w:tc>
          <w:tcPr>
            <w:tcW w:w="2518" w:type="dxa"/>
            <w:tcBorders>
              <w:bottom w:val="single" w:sz="4" w:space="0" w:color="652266" w:themeColor="accent1"/>
            </w:tcBorders>
          </w:tcPr>
          <w:p w14:paraId="3B298F36" w14:textId="77777777" w:rsidR="00F43A71" w:rsidRPr="00F43A71" w:rsidRDefault="00F43A71" w:rsidP="0066431E">
            <w:pPr>
              <w:rPr>
                <w:rStyle w:val="BoldPurple"/>
              </w:rPr>
            </w:pPr>
          </w:p>
        </w:tc>
        <w:tc>
          <w:tcPr>
            <w:tcW w:w="1452" w:type="dxa"/>
            <w:tcBorders>
              <w:bottom w:val="single" w:sz="4" w:space="0" w:color="652266" w:themeColor="accent1"/>
            </w:tcBorders>
            <w:shd w:val="clear" w:color="auto" w:fill="F2E6F1"/>
          </w:tcPr>
          <w:p w14:paraId="50D51496" w14:textId="77777777" w:rsidR="00F43A71" w:rsidRPr="00F43A71" w:rsidRDefault="00F43A71" w:rsidP="00F43A71">
            <w:pPr>
              <w:jc w:val="right"/>
              <w:rPr>
                <w:rStyle w:val="BoldPurple"/>
              </w:rPr>
            </w:pPr>
            <w:r w:rsidRPr="00F43A71">
              <w:rPr>
                <w:rStyle w:val="BoldPurple"/>
              </w:rPr>
              <w:t>2021</w:t>
            </w:r>
          </w:p>
          <w:p w14:paraId="4467E714" w14:textId="1983AA77" w:rsidR="00F43A71" w:rsidRPr="00F43A71" w:rsidRDefault="00F43A71" w:rsidP="00F43A71">
            <w:pPr>
              <w:jc w:val="right"/>
              <w:rPr>
                <w:rStyle w:val="BoldPurple"/>
              </w:rPr>
            </w:pPr>
            <w:r w:rsidRPr="00F43A71">
              <w:rPr>
                <w:rStyle w:val="BoldPurple"/>
              </w:rPr>
              <w:t>$</w:t>
            </w:r>
          </w:p>
        </w:tc>
        <w:tc>
          <w:tcPr>
            <w:tcW w:w="1452" w:type="dxa"/>
            <w:tcBorders>
              <w:bottom w:val="single" w:sz="4" w:space="0" w:color="652266" w:themeColor="accent1"/>
            </w:tcBorders>
          </w:tcPr>
          <w:p w14:paraId="5284EE20" w14:textId="77777777" w:rsidR="00F43A71" w:rsidRPr="00F43A71" w:rsidRDefault="00F43A71" w:rsidP="00F43A71">
            <w:pPr>
              <w:jc w:val="right"/>
              <w:rPr>
                <w:rStyle w:val="BoldPurple"/>
              </w:rPr>
            </w:pPr>
            <w:r w:rsidRPr="00F43A71">
              <w:rPr>
                <w:rStyle w:val="BoldPurple"/>
              </w:rPr>
              <w:t>2020</w:t>
            </w:r>
          </w:p>
          <w:p w14:paraId="6118D51D" w14:textId="50B03623" w:rsidR="00F43A71" w:rsidRPr="00F43A71" w:rsidRDefault="00F43A71" w:rsidP="00F43A71">
            <w:pPr>
              <w:jc w:val="right"/>
              <w:rPr>
                <w:rStyle w:val="BoldPurple"/>
              </w:rPr>
            </w:pPr>
            <w:r w:rsidRPr="00F43A71">
              <w:rPr>
                <w:rStyle w:val="BoldPurple"/>
              </w:rPr>
              <w:t>$</w:t>
            </w:r>
          </w:p>
        </w:tc>
      </w:tr>
      <w:tr w:rsidR="00F43A71" w14:paraId="495789A2" w14:textId="77777777" w:rsidTr="00B33BF6">
        <w:tc>
          <w:tcPr>
            <w:tcW w:w="2518" w:type="dxa"/>
            <w:tcBorders>
              <w:top w:val="single" w:sz="4" w:space="0" w:color="652266" w:themeColor="accent1"/>
            </w:tcBorders>
          </w:tcPr>
          <w:p w14:paraId="7AA35A40" w14:textId="4D445552" w:rsidR="00F43A71" w:rsidRPr="00F43A71" w:rsidRDefault="00F43A71" w:rsidP="0066431E">
            <w:pPr>
              <w:rPr>
                <w:rStyle w:val="BoldPurple"/>
              </w:rPr>
            </w:pPr>
            <w:r w:rsidRPr="00F43A71">
              <w:rPr>
                <w:rStyle w:val="BoldPurple"/>
              </w:rPr>
              <w:t>Continuing operations</w:t>
            </w:r>
          </w:p>
        </w:tc>
        <w:tc>
          <w:tcPr>
            <w:tcW w:w="1452" w:type="dxa"/>
            <w:tcBorders>
              <w:top w:val="single" w:sz="4" w:space="0" w:color="652266" w:themeColor="accent1"/>
            </w:tcBorders>
            <w:shd w:val="clear" w:color="auto" w:fill="F2E6F1"/>
          </w:tcPr>
          <w:p w14:paraId="67CA4627" w14:textId="77777777" w:rsidR="00F43A71" w:rsidRDefault="00F43A71" w:rsidP="00F43A71">
            <w:pPr>
              <w:jc w:val="right"/>
            </w:pPr>
          </w:p>
        </w:tc>
        <w:tc>
          <w:tcPr>
            <w:tcW w:w="1452" w:type="dxa"/>
            <w:tcBorders>
              <w:top w:val="single" w:sz="4" w:space="0" w:color="652266" w:themeColor="accent1"/>
            </w:tcBorders>
          </w:tcPr>
          <w:p w14:paraId="55F23E94" w14:textId="77777777" w:rsidR="00F43A71" w:rsidRDefault="00F43A71" w:rsidP="00F43A71">
            <w:pPr>
              <w:jc w:val="right"/>
            </w:pPr>
          </w:p>
        </w:tc>
      </w:tr>
      <w:tr w:rsidR="00F43A71" w14:paraId="645BB0AF" w14:textId="77777777" w:rsidTr="00F43A71">
        <w:tc>
          <w:tcPr>
            <w:tcW w:w="2518" w:type="dxa"/>
          </w:tcPr>
          <w:p w14:paraId="3E47EBD6" w14:textId="1AD28194" w:rsidR="00F43A71" w:rsidRDefault="00F43A71" w:rsidP="00F43A71">
            <w:r>
              <w:t>Revenue</w:t>
            </w:r>
          </w:p>
        </w:tc>
        <w:tc>
          <w:tcPr>
            <w:tcW w:w="1452" w:type="dxa"/>
            <w:shd w:val="clear" w:color="auto" w:fill="F2E6F1"/>
          </w:tcPr>
          <w:p w14:paraId="682F3E5E" w14:textId="18C1D938" w:rsidR="00F43A71" w:rsidRDefault="00F43A71" w:rsidP="00F43A71">
            <w:pPr>
              <w:jc w:val="right"/>
            </w:pPr>
            <w:r>
              <w:t>2,499,459</w:t>
            </w:r>
          </w:p>
        </w:tc>
        <w:tc>
          <w:tcPr>
            <w:tcW w:w="1452" w:type="dxa"/>
          </w:tcPr>
          <w:p w14:paraId="77787CE1" w14:textId="5FB6F3A3" w:rsidR="00F43A71" w:rsidRDefault="00F43A71" w:rsidP="00F43A71">
            <w:pPr>
              <w:jc w:val="right"/>
            </w:pPr>
            <w:r>
              <w:t>1,815,846</w:t>
            </w:r>
          </w:p>
        </w:tc>
      </w:tr>
      <w:tr w:rsidR="00F43A71" w14:paraId="68D5A806" w14:textId="77777777" w:rsidTr="00F43A71">
        <w:tc>
          <w:tcPr>
            <w:tcW w:w="2518" w:type="dxa"/>
          </w:tcPr>
          <w:p w14:paraId="2C96079C" w14:textId="77777777" w:rsidR="00F43A71" w:rsidRDefault="00F43A71" w:rsidP="0066431E"/>
        </w:tc>
        <w:tc>
          <w:tcPr>
            <w:tcW w:w="1452" w:type="dxa"/>
            <w:shd w:val="clear" w:color="auto" w:fill="F2E6F1"/>
          </w:tcPr>
          <w:p w14:paraId="12AEC3F1" w14:textId="77777777" w:rsidR="00F43A71" w:rsidRDefault="00F43A71" w:rsidP="00F43A71">
            <w:pPr>
              <w:jc w:val="right"/>
            </w:pPr>
          </w:p>
        </w:tc>
        <w:tc>
          <w:tcPr>
            <w:tcW w:w="1452" w:type="dxa"/>
          </w:tcPr>
          <w:p w14:paraId="559FA6FA" w14:textId="77777777" w:rsidR="00F43A71" w:rsidRDefault="00F43A71" w:rsidP="00F43A71">
            <w:pPr>
              <w:jc w:val="right"/>
            </w:pPr>
          </w:p>
        </w:tc>
      </w:tr>
      <w:tr w:rsidR="00F43A71" w14:paraId="67B9FECB" w14:textId="77777777" w:rsidTr="00F43A71">
        <w:tc>
          <w:tcPr>
            <w:tcW w:w="2518" w:type="dxa"/>
          </w:tcPr>
          <w:p w14:paraId="679BDAE6" w14:textId="1ADE6E7C" w:rsidR="00F43A71" w:rsidRPr="00F43A71" w:rsidRDefault="00F43A71" w:rsidP="0066431E">
            <w:pPr>
              <w:rPr>
                <w:rStyle w:val="BoldPurple"/>
              </w:rPr>
            </w:pPr>
            <w:r w:rsidRPr="00F43A71">
              <w:rPr>
                <w:rStyle w:val="BoldPurple"/>
              </w:rPr>
              <w:t>Expenditure</w:t>
            </w:r>
          </w:p>
        </w:tc>
        <w:tc>
          <w:tcPr>
            <w:tcW w:w="1452" w:type="dxa"/>
            <w:shd w:val="clear" w:color="auto" w:fill="F2E6F1"/>
          </w:tcPr>
          <w:p w14:paraId="612998E5" w14:textId="77777777" w:rsidR="00F43A71" w:rsidRDefault="00F43A71" w:rsidP="00F43A71">
            <w:pPr>
              <w:jc w:val="right"/>
            </w:pPr>
          </w:p>
        </w:tc>
        <w:tc>
          <w:tcPr>
            <w:tcW w:w="1452" w:type="dxa"/>
          </w:tcPr>
          <w:p w14:paraId="13DB8640" w14:textId="77777777" w:rsidR="00F43A71" w:rsidRDefault="00F43A71" w:rsidP="00F43A71">
            <w:pPr>
              <w:jc w:val="right"/>
            </w:pPr>
          </w:p>
        </w:tc>
      </w:tr>
      <w:tr w:rsidR="00F43A71" w14:paraId="1F5F5971" w14:textId="77777777" w:rsidTr="00F43A71">
        <w:tc>
          <w:tcPr>
            <w:tcW w:w="2518" w:type="dxa"/>
          </w:tcPr>
          <w:p w14:paraId="65709EC4" w14:textId="44E8416D" w:rsidR="00F43A71" w:rsidRDefault="00F43A71" w:rsidP="00F43A71">
            <w:r>
              <w:t>Depreciation expenses</w:t>
            </w:r>
          </w:p>
        </w:tc>
        <w:tc>
          <w:tcPr>
            <w:tcW w:w="1452" w:type="dxa"/>
            <w:shd w:val="clear" w:color="auto" w:fill="F2E6F1"/>
          </w:tcPr>
          <w:p w14:paraId="2C87AA0F" w14:textId="1D22C2C6" w:rsidR="00F43A71" w:rsidRDefault="00F43A71" w:rsidP="00F43A71">
            <w:pPr>
              <w:jc w:val="right"/>
            </w:pPr>
            <w:r>
              <w:t>(15,150)</w:t>
            </w:r>
          </w:p>
        </w:tc>
        <w:tc>
          <w:tcPr>
            <w:tcW w:w="1452" w:type="dxa"/>
          </w:tcPr>
          <w:p w14:paraId="6B93C7A8" w14:textId="5996E70B" w:rsidR="00F43A71" w:rsidRDefault="00F43A71" w:rsidP="00F43A71">
            <w:pPr>
              <w:jc w:val="right"/>
            </w:pPr>
            <w:r>
              <w:t>(23,730)</w:t>
            </w:r>
          </w:p>
        </w:tc>
      </w:tr>
      <w:tr w:rsidR="00F43A71" w14:paraId="47EBD706" w14:textId="77777777" w:rsidTr="00F43A71">
        <w:tc>
          <w:tcPr>
            <w:tcW w:w="2518" w:type="dxa"/>
          </w:tcPr>
          <w:p w14:paraId="27F6FCA0" w14:textId="0D2A64EB" w:rsidR="00F43A71" w:rsidRDefault="00F43A71" w:rsidP="00F43A71">
            <w:r>
              <w:t>Client support services</w:t>
            </w:r>
          </w:p>
        </w:tc>
        <w:tc>
          <w:tcPr>
            <w:tcW w:w="1452" w:type="dxa"/>
            <w:shd w:val="clear" w:color="auto" w:fill="F2E6F1"/>
          </w:tcPr>
          <w:p w14:paraId="49463EEC" w14:textId="2E6E4FA2" w:rsidR="00F43A71" w:rsidRDefault="00F43A71" w:rsidP="00F43A71">
            <w:pPr>
              <w:jc w:val="right"/>
            </w:pPr>
            <w:r>
              <w:t>(149,553)</w:t>
            </w:r>
          </w:p>
        </w:tc>
        <w:tc>
          <w:tcPr>
            <w:tcW w:w="1452" w:type="dxa"/>
          </w:tcPr>
          <w:p w14:paraId="26E8B170" w14:textId="58F1BF89" w:rsidR="00F43A71" w:rsidRDefault="00F43A71" w:rsidP="00F43A71">
            <w:pPr>
              <w:jc w:val="right"/>
            </w:pPr>
            <w:r>
              <w:t>(142,373)</w:t>
            </w:r>
          </w:p>
        </w:tc>
      </w:tr>
      <w:tr w:rsidR="00F43A71" w14:paraId="2A3F1354" w14:textId="77777777" w:rsidTr="00B33BF6">
        <w:tc>
          <w:tcPr>
            <w:tcW w:w="2518" w:type="dxa"/>
          </w:tcPr>
          <w:p w14:paraId="3DA4EA01" w14:textId="4D4DC1C3" w:rsidR="00F43A71" w:rsidRDefault="00F43A71" w:rsidP="00F43A71">
            <w:r>
              <w:t>Employee benefits expenses</w:t>
            </w:r>
          </w:p>
        </w:tc>
        <w:tc>
          <w:tcPr>
            <w:tcW w:w="1452" w:type="dxa"/>
            <w:shd w:val="clear" w:color="auto" w:fill="F2E6F1"/>
          </w:tcPr>
          <w:p w14:paraId="7AB2069F" w14:textId="3B0F2B42" w:rsidR="00F43A71" w:rsidRDefault="00F43A71" w:rsidP="00F43A71">
            <w:pPr>
              <w:jc w:val="right"/>
            </w:pPr>
            <w:r>
              <w:t>(1,626,039)</w:t>
            </w:r>
          </w:p>
        </w:tc>
        <w:tc>
          <w:tcPr>
            <w:tcW w:w="1452" w:type="dxa"/>
          </w:tcPr>
          <w:p w14:paraId="1AB4EEEF" w14:textId="4FFB5F83" w:rsidR="00F43A71" w:rsidRDefault="00F43A71" w:rsidP="00F43A71">
            <w:pPr>
              <w:jc w:val="right"/>
            </w:pPr>
            <w:r>
              <w:t>(1,421,744)</w:t>
            </w:r>
          </w:p>
        </w:tc>
      </w:tr>
      <w:tr w:rsidR="00F43A71" w14:paraId="2A4C150A" w14:textId="77777777" w:rsidTr="00B33BF6">
        <w:tc>
          <w:tcPr>
            <w:tcW w:w="2518" w:type="dxa"/>
            <w:tcBorders>
              <w:bottom w:val="single" w:sz="4" w:space="0" w:color="652266" w:themeColor="accent1"/>
            </w:tcBorders>
          </w:tcPr>
          <w:p w14:paraId="426C9FCE" w14:textId="798C0AF0" w:rsidR="00F43A71" w:rsidRDefault="00F43A71" w:rsidP="00F43A71">
            <w:r>
              <w:t>Other expenses</w:t>
            </w:r>
          </w:p>
        </w:tc>
        <w:tc>
          <w:tcPr>
            <w:tcW w:w="1452" w:type="dxa"/>
            <w:tcBorders>
              <w:bottom w:val="single" w:sz="4" w:space="0" w:color="652266" w:themeColor="accent1"/>
            </w:tcBorders>
            <w:shd w:val="clear" w:color="auto" w:fill="F2E6F1"/>
          </w:tcPr>
          <w:p w14:paraId="5C3B850A" w14:textId="0C8C9E0A" w:rsidR="00F43A71" w:rsidRDefault="00F43A71" w:rsidP="00F43A71">
            <w:pPr>
              <w:jc w:val="right"/>
            </w:pPr>
            <w:r>
              <w:t>(264,223)</w:t>
            </w:r>
          </w:p>
        </w:tc>
        <w:tc>
          <w:tcPr>
            <w:tcW w:w="1452" w:type="dxa"/>
            <w:tcBorders>
              <w:bottom w:val="single" w:sz="4" w:space="0" w:color="652266" w:themeColor="accent1"/>
            </w:tcBorders>
          </w:tcPr>
          <w:p w14:paraId="726BBD5A" w14:textId="09979B0F" w:rsidR="00F43A71" w:rsidRDefault="00F43A71" w:rsidP="00F43A71">
            <w:pPr>
              <w:jc w:val="right"/>
            </w:pPr>
            <w:r>
              <w:t>(292,882)</w:t>
            </w:r>
          </w:p>
        </w:tc>
      </w:tr>
      <w:tr w:rsidR="00F43A71" w14:paraId="1843C7E3" w14:textId="77777777" w:rsidTr="00B33BF6">
        <w:tc>
          <w:tcPr>
            <w:tcW w:w="2518" w:type="dxa"/>
            <w:tcBorders>
              <w:top w:val="single" w:sz="4" w:space="0" w:color="652266" w:themeColor="accent1"/>
              <w:bottom w:val="single" w:sz="4" w:space="0" w:color="652266" w:themeColor="accent1"/>
            </w:tcBorders>
          </w:tcPr>
          <w:p w14:paraId="3EBA1FDA" w14:textId="29937BB6" w:rsidR="00F43A71" w:rsidRDefault="00F43A71" w:rsidP="00F43A71">
            <w:r>
              <w:rPr>
                <w:rStyle w:val="Strong"/>
              </w:rPr>
              <w:t>Total expenses</w:t>
            </w:r>
          </w:p>
        </w:tc>
        <w:tc>
          <w:tcPr>
            <w:tcW w:w="1452" w:type="dxa"/>
            <w:tcBorders>
              <w:top w:val="single" w:sz="4" w:space="0" w:color="652266" w:themeColor="accent1"/>
              <w:bottom w:val="single" w:sz="4" w:space="0" w:color="652266" w:themeColor="accent1"/>
            </w:tcBorders>
            <w:shd w:val="clear" w:color="auto" w:fill="F2E6F1"/>
          </w:tcPr>
          <w:p w14:paraId="0564D3BA" w14:textId="19FDB57C" w:rsidR="00F43A71" w:rsidRDefault="00F43A71" w:rsidP="00F43A71">
            <w:pPr>
              <w:jc w:val="right"/>
            </w:pPr>
            <w:r>
              <w:t>(2,054,965)</w:t>
            </w:r>
          </w:p>
        </w:tc>
        <w:tc>
          <w:tcPr>
            <w:tcW w:w="1452" w:type="dxa"/>
            <w:tcBorders>
              <w:top w:val="single" w:sz="4" w:space="0" w:color="652266" w:themeColor="accent1"/>
              <w:bottom w:val="single" w:sz="4" w:space="0" w:color="652266" w:themeColor="accent1"/>
            </w:tcBorders>
          </w:tcPr>
          <w:p w14:paraId="081B3EC5" w14:textId="35280AA6" w:rsidR="00F43A71" w:rsidRDefault="00F43A71" w:rsidP="00F43A71">
            <w:pPr>
              <w:jc w:val="right"/>
            </w:pPr>
            <w:r>
              <w:t>(1,880,729)</w:t>
            </w:r>
          </w:p>
        </w:tc>
      </w:tr>
      <w:tr w:rsidR="00F43A71" w14:paraId="2B1A1ACF" w14:textId="77777777" w:rsidTr="00B33BF6">
        <w:tc>
          <w:tcPr>
            <w:tcW w:w="2518" w:type="dxa"/>
            <w:tcBorders>
              <w:top w:val="single" w:sz="4" w:space="0" w:color="652266" w:themeColor="accent1"/>
            </w:tcBorders>
          </w:tcPr>
          <w:p w14:paraId="2E86D92B" w14:textId="77777777" w:rsidR="00F43A71" w:rsidRDefault="00F43A71" w:rsidP="0066431E"/>
        </w:tc>
        <w:tc>
          <w:tcPr>
            <w:tcW w:w="1452" w:type="dxa"/>
            <w:tcBorders>
              <w:top w:val="single" w:sz="4" w:space="0" w:color="652266" w:themeColor="accent1"/>
            </w:tcBorders>
            <w:shd w:val="clear" w:color="auto" w:fill="F2E6F1"/>
          </w:tcPr>
          <w:p w14:paraId="064606EA" w14:textId="77777777" w:rsidR="00F43A71" w:rsidRDefault="00F43A71" w:rsidP="00F43A71">
            <w:pPr>
              <w:jc w:val="right"/>
            </w:pPr>
          </w:p>
        </w:tc>
        <w:tc>
          <w:tcPr>
            <w:tcW w:w="1452" w:type="dxa"/>
            <w:tcBorders>
              <w:top w:val="single" w:sz="4" w:space="0" w:color="652266" w:themeColor="accent1"/>
            </w:tcBorders>
          </w:tcPr>
          <w:p w14:paraId="4783ECA4" w14:textId="77777777" w:rsidR="00F43A71" w:rsidRDefault="00F43A71" w:rsidP="00F43A71">
            <w:pPr>
              <w:jc w:val="right"/>
            </w:pPr>
          </w:p>
        </w:tc>
      </w:tr>
      <w:tr w:rsidR="00F43A71" w14:paraId="24B93062" w14:textId="77777777" w:rsidTr="00B33BF6">
        <w:tc>
          <w:tcPr>
            <w:tcW w:w="2518" w:type="dxa"/>
          </w:tcPr>
          <w:p w14:paraId="35B61F2D" w14:textId="0C19BB42" w:rsidR="00F43A71" w:rsidRPr="00F43A71" w:rsidRDefault="00F43A71" w:rsidP="00F43A71">
            <w:pPr>
              <w:rPr>
                <w:rStyle w:val="BoldPurple"/>
              </w:rPr>
            </w:pPr>
            <w:r w:rsidRPr="00F43A71">
              <w:rPr>
                <w:rStyle w:val="BoldPurple"/>
              </w:rPr>
              <w:t>Surplus (Deficit)</w:t>
            </w:r>
            <w:r w:rsidRPr="00F43A71">
              <w:rPr>
                <w:rStyle w:val="BoldPurple"/>
              </w:rPr>
              <w:br/>
              <w:t>before tax</w:t>
            </w:r>
          </w:p>
        </w:tc>
        <w:tc>
          <w:tcPr>
            <w:tcW w:w="1452" w:type="dxa"/>
            <w:shd w:val="clear" w:color="auto" w:fill="F2E6F1"/>
            <w:vAlign w:val="bottom"/>
          </w:tcPr>
          <w:p w14:paraId="26D6CA2E" w14:textId="52317D9C" w:rsidR="00F43A71" w:rsidRDefault="00F43A71" w:rsidP="00F43A71">
            <w:pPr>
              <w:jc w:val="right"/>
            </w:pPr>
            <w:r>
              <w:t>444,494</w:t>
            </w:r>
          </w:p>
        </w:tc>
        <w:tc>
          <w:tcPr>
            <w:tcW w:w="1452" w:type="dxa"/>
            <w:vAlign w:val="bottom"/>
          </w:tcPr>
          <w:p w14:paraId="19170F78" w14:textId="4FACB113" w:rsidR="00F43A71" w:rsidRDefault="00F43A71" w:rsidP="00F43A71">
            <w:pPr>
              <w:jc w:val="right"/>
            </w:pPr>
            <w:r>
              <w:t>(64,883)</w:t>
            </w:r>
          </w:p>
        </w:tc>
      </w:tr>
      <w:tr w:rsidR="00F43A71" w14:paraId="6A558B31" w14:textId="77777777" w:rsidTr="00B33BF6">
        <w:tc>
          <w:tcPr>
            <w:tcW w:w="2518" w:type="dxa"/>
            <w:tcBorders>
              <w:bottom w:val="single" w:sz="4" w:space="0" w:color="652266" w:themeColor="accent1"/>
            </w:tcBorders>
          </w:tcPr>
          <w:p w14:paraId="056F0CE0" w14:textId="2F11F2DB" w:rsidR="00F43A71" w:rsidRDefault="00F43A71" w:rsidP="00F43A71">
            <w:r>
              <w:t>Income tax expenses</w:t>
            </w:r>
          </w:p>
        </w:tc>
        <w:tc>
          <w:tcPr>
            <w:tcW w:w="1452" w:type="dxa"/>
            <w:tcBorders>
              <w:bottom w:val="single" w:sz="4" w:space="0" w:color="652266" w:themeColor="accent1"/>
            </w:tcBorders>
            <w:shd w:val="clear" w:color="auto" w:fill="F2E6F1"/>
          </w:tcPr>
          <w:p w14:paraId="104DA2CD" w14:textId="5E9E83F0" w:rsidR="00F43A71" w:rsidRDefault="00F43A71" w:rsidP="00F43A71">
            <w:pPr>
              <w:jc w:val="right"/>
            </w:pPr>
            <w:r>
              <w:t>–</w:t>
            </w:r>
          </w:p>
        </w:tc>
        <w:tc>
          <w:tcPr>
            <w:tcW w:w="1452" w:type="dxa"/>
            <w:tcBorders>
              <w:bottom w:val="single" w:sz="4" w:space="0" w:color="652266" w:themeColor="accent1"/>
            </w:tcBorders>
          </w:tcPr>
          <w:p w14:paraId="0D6B5982" w14:textId="023879DD" w:rsidR="00F43A71" w:rsidRDefault="00F43A71" w:rsidP="00F43A71">
            <w:pPr>
              <w:jc w:val="right"/>
            </w:pPr>
            <w:r>
              <w:t>–</w:t>
            </w:r>
          </w:p>
        </w:tc>
      </w:tr>
      <w:tr w:rsidR="00F43A71" w14:paraId="7D58EAD9" w14:textId="77777777" w:rsidTr="00B33BF6">
        <w:tc>
          <w:tcPr>
            <w:tcW w:w="2518" w:type="dxa"/>
            <w:tcBorders>
              <w:top w:val="single" w:sz="4" w:space="0" w:color="652266" w:themeColor="accent1"/>
              <w:bottom w:val="single" w:sz="12" w:space="0" w:color="652266" w:themeColor="accent1"/>
            </w:tcBorders>
          </w:tcPr>
          <w:p w14:paraId="1F79416C" w14:textId="069B1392" w:rsidR="00F43A71" w:rsidRPr="005F5E64" w:rsidRDefault="00F43A71" w:rsidP="00F43A71">
            <w:pPr>
              <w:rPr>
                <w:rStyle w:val="BoldPurple"/>
              </w:rPr>
            </w:pPr>
            <w:r w:rsidRPr="005F5E64">
              <w:rPr>
                <w:rStyle w:val="BoldPurple"/>
              </w:rPr>
              <w:t>Surplus (Deficit)</w:t>
            </w:r>
            <w:r w:rsidRPr="005F5E64">
              <w:rPr>
                <w:rStyle w:val="BoldPurple"/>
              </w:rPr>
              <w:br/>
              <w:t>for the year</w:t>
            </w:r>
          </w:p>
        </w:tc>
        <w:tc>
          <w:tcPr>
            <w:tcW w:w="1452" w:type="dxa"/>
            <w:tcBorders>
              <w:top w:val="single" w:sz="4" w:space="0" w:color="652266" w:themeColor="accent1"/>
              <w:bottom w:val="single" w:sz="12" w:space="0" w:color="652266" w:themeColor="accent1"/>
            </w:tcBorders>
            <w:shd w:val="clear" w:color="auto" w:fill="F2E6F1"/>
            <w:vAlign w:val="bottom"/>
          </w:tcPr>
          <w:p w14:paraId="09CF9F2F" w14:textId="064A79B8" w:rsidR="00F43A71" w:rsidRDefault="00F43A71" w:rsidP="00F43A71">
            <w:pPr>
              <w:jc w:val="right"/>
            </w:pPr>
            <w:r>
              <w:t>444,494</w:t>
            </w:r>
          </w:p>
        </w:tc>
        <w:tc>
          <w:tcPr>
            <w:tcW w:w="1452" w:type="dxa"/>
            <w:tcBorders>
              <w:top w:val="single" w:sz="4" w:space="0" w:color="652266" w:themeColor="accent1"/>
              <w:bottom w:val="single" w:sz="12" w:space="0" w:color="652266" w:themeColor="accent1"/>
            </w:tcBorders>
            <w:vAlign w:val="bottom"/>
          </w:tcPr>
          <w:p w14:paraId="7D1A8478" w14:textId="722C4BBA" w:rsidR="00F43A71" w:rsidRDefault="00F43A71" w:rsidP="00F43A71">
            <w:pPr>
              <w:jc w:val="right"/>
            </w:pPr>
            <w:r>
              <w:t>(64,883)</w:t>
            </w:r>
          </w:p>
        </w:tc>
      </w:tr>
      <w:tr w:rsidR="00F43A71" w14:paraId="0FB1FB05" w14:textId="77777777" w:rsidTr="00B33BF6">
        <w:tc>
          <w:tcPr>
            <w:tcW w:w="2518" w:type="dxa"/>
            <w:tcBorders>
              <w:top w:val="single" w:sz="12" w:space="0" w:color="652266" w:themeColor="accent1"/>
            </w:tcBorders>
          </w:tcPr>
          <w:p w14:paraId="7A065BFB" w14:textId="77777777" w:rsidR="00F43A71" w:rsidRDefault="00F43A71" w:rsidP="0066431E"/>
        </w:tc>
        <w:tc>
          <w:tcPr>
            <w:tcW w:w="1452" w:type="dxa"/>
            <w:tcBorders>
              <w:top w:val="single" w:sz="12" w:space="0" w:color="652266" w:themeColor="accent1"/>
            </w:tcBorders>
            <w:shd w:val="clear" w:color="auto" w:fill="F2E6F1"/>
          </w:tcPr>
          <w:p w14:paraId="6103AC9C" w14:textId="77777777" w:rsidR="00F43A71" w:rsidRDefault="00F43A71" w:rsidP="00F43A71">
            <w:pPr>
              <w:jc w:val="right"/>
            </w:pPr>
          </w:p>
        </w:tc>
        <w:tc>
          <w:tcPr>
            <w:tcW w:w="1452" w:type="dxa"/>
            <w:tcBorders>
              <w:top w:val="single" w:sz="12" w:space="0" w:color="652266" w:themeColor="accent1"/>
            </w:tcBorders>
          </w:tcPr>
          <w:p w14:paraId="6501C366" w14:textId="77777777" w:rsidR="00F43A71" w:rsidRDefault="00F43A71" w:rsidP="00F43A71">
            <w:pPr>
              <w:jc w:val="right"/>
            </w:pPr>
          </w:p>
        </w:tc>
      </w:tr>
      <w:tr w:rsidR="00F43A71" w14:paraId="185ECA3E" w14:textId="77777777" w:rsidTr="00B33BF6">
        <w:tc>
          <w:tcPr>
            <w:tcW w:w="2518" w:type="dxa"/>
          </w:tcPr>
          <w:p w14:paraId="16B91444" w14:textId="13539631" w:rsidR="00F43A71" w:rsidRDefault="00F43A71" w:rsidP="0066431E">
            <w:r>
              <w:t>Other comprehensive income</w:t>
            </w:r>
          </w:p>
        </w:tc>
        <w:tc>
          <w:tcPr>
            <w:tcW w:w="1452" w:type="dxa"/>
            <w:shd w:val="clear" w:color="auto" w:fill="F2E6F1"/>
          </w:tcPr>
          <w:p w14:paraId="554B457A" w14:textId="08B5804A" w:rsidR="00F43A71" w:rsidRDefault="00F43A71" w:rsidP="00F43A71">
            <w:pPr>
              <w:jc w:val="right"/>
            </w:pPr>
            <w:r>
              <w:t>–</w:t>
            </w:r>
          </w:p>
        </w:tc>
        <w:tc>
          <w:tcPr>
            <w:tcW w:w="1452" w:type="dxa"/>
          </w:tcPr>
          <w:p w14:paraId="43B52BD1" w14:textId="42B7C9A8" w:rsidR="00F43A71" w:rsidRPr="00F43A71" w:rsidRDefault="00F43A71" w:rsidP="00F43A71">
            <w:pPr>
              <w:jc w:val="right"/>
              <w:rPr>
                <w:rFonts w:ascii="Arial" w:hAnsi="Arial" w:cs="Arial"/>
              </w:rPr>
            </w:pPr>
            <w:r>
              <w:rPr>
                <w:rFonts w:ascii="Arial" w:hAnsi="Arial" w:cs="Arial"/>
              </w:rPr>
              <w:t>–</w:t>
            </w:r>
          </w:p>
        </w:tc>
      </w:tr>
      <w:tr w:rsidR="00F43A71" w14:paraId="52DB9105" w14:textId="77777777" w:rsidTr="00B33BF6">
        <w:tc>
          <w:tcPr>
            <w:tcW w:w="2518" w:type="dxa"/>
            <w:tcBorders>
              <w:bottom w:val="single" w:sz="12" w:space="0" w:color="652266" w:themeColor="accent1"/>
            </w:tcBorders>
          </w:tcPr>
          <w:p w14:paraId="1566D122" w14:textId="4C98A3D8" w:rsidR="00F43A71" w:rsidRPr="005F5E64" w:rsidRDefault="00F43A71" w:rsidP="00F43A71">
            <w:pPr>
              <w:rPr>
                <w:rStyle w:val="BoldPurple"/>
              </w:rPr>
            </w:pPr>
            <w:r w:rsidRPr="005F5E64">
              <w:rPr>
                <w:rStyle w:val="BoldPurple"/>
              </w:rPr>
              <w:t>Total comprehensive Surplus (Deficit)</w:t>
            </w:r>
            <w:r w:rsidRPr="005F5E64">
              <w:rPr>
                <w:rStyle w:val="BoldPurple"/>
              </w:rPr>
              <w:br/>
              <w:t>for the year</w:t>
            </w:r>
          </w:p>
        </w:tc>
        <w:tc>
          <w:tcPr>
            <w:tcW w:w="1452" w:type="dxa"/>
            <w:tcBorders>
              <w:bottom w:val="single" w:sz="12" w:space="0" w:color="652266" w:themeColor="accent1"/>
            </w:tcBorders>
            <w:shd w:val="clear" w:color="auto" w:fill="F2E6F1"/>
            <w:vAlign w:val="bottom"/>
          </w:tcPr>
          <w:p w14:paraId="2471C81D" w14:textId="16D26366" w:rsidR="00F43A71" w:rsidRDefault="00F43A71" w:rsidP="00F43A71">
            <w:pPr>
              <w:jc w:val="right"/>
            </w:pPr>
            <w:r>
              <w:t>444,494</w:t>
            </w:r>
          </w:p>
        </w:tc>
        <w:tc>
          <w:tcPr>
            <w:tcW w:w="1452" w:type="dxa"/>
            <w:tcBorders>
              <w:bottom w:val="single" w:sz="12" w:space="0" w:color="652266" w:themeColor="accent1"/>
            </w:tcBorders>
            <w:vAlign w:val="bottom"/>
          </w:tcPr>
          <w:p w14:paraId="3C16D44E" w14:textId="203BEFF0" w:rsidR="00F43A71" w:rsidRDefault="00F43A71" w:rsidP="00F43A71">
            <w:pPr>
              <w:jc w:val="right"/>
            </w:pPr>
            <w:r>
              <w:t>(64,883)</w:t>
            </w:r>
          </w:p>
        </w:tc>
      </w:tr>
    </w:tbl>
    <w:p w14:paraId="0412BC6E" w14:textId="77777777" w:rsidR="00F43A71" w:rsidRPr="0066431E" w:rsidRDefault="00F43A71" w:rsidP="0066431E"/>
    <w:p w14:paraId="7E2EBB12" w14:textId="77777777" w:rsidR="009870C6" w:rsidRDefault="009870C6" w:rsidP="00A07C5F">
      <w:pPr>
        <w:rPr>
          <w:rStyle w:val="Strong"/>
        </w:rPr>
        <w:sectPr w:rsidR="009870C6" w:rsidSect="002F737F">
          <w:pgSz w:w="11906" w:h="16838" w:code="9"/>
          <w:pgMar w:top="992" w:right="851" w:bottom="992" w:left="851" w:header="567" w:footer="567" w:gutter="0"/>
          <w:cols w:num="2" w:space="284" w:equalWidth="0">
            <w:col w:w="4139" w:space="284"/>
            <w:col w:w="5781"/>
          </w:cols>
          <w:docGrid w:linePitch="360"/>
        </w:sectPr>
      </w:pPr>
    </w:p>
    <w:p w14:paraId="2592E8A0" w14:textId="77777777" w:rsidR="002474F1" w:rsidRPr="00294718" w:rsidRDefault="002474F1" w:rsidP="00203153">
      <w:pPr>
        <w:pStyle w:val="Heading3"/>
        <w:rPr>
          <w:rStyle w:val="Strong"/>
          <w:b/>
          <w:bCs/>
        </w:rPr>
      </w:pPr>
      <w:r w:rsidRPr="00294718">
        <w:rPr>
          <w:rStyle w:val="Strong"/>
          <w:b/>
          <w:bCs/>
        </w:rPr>
        <w:lastRenderedPageBreak/>
        <w:t xml:space="preserve">Statement of </w:t>
      </w:r>
      <w:r w:rsidRPr="00203153">
        <w:rPr>
          <w:rStyle w:val="Strong"/>
          <w:b/>
          <w:bCs/>
        </w:rPr>
        <w:t>financial</w:t>
      </w:r>
      <w:r w:rsidRPr="00294718">
        <w:rPr>
          <w:rStyle w:val="Strong"/>
          <w:b/>
          <w:bCs/>
        </w:rPr>
        <w:t xml:space="preserve"> position</w:t>
      </w:r>
    </w:p>
    <w:p w14:paraId="02F3FEC4" w14:textId="7848F528" w:rsidR="00A07C5F" w:rsidRDefault="002474F1" w:rsidP="002474F1">
      <w:pPr>
        <w:rPr>
          <w:rStyle w:val="Strong"/>
        </w:rPr>
      </w:pPr>
      <w:r w:rsidRPr="002474F1">
        <w:rPr>
          <w:rStyle w:val="Strong"/>
        </w:rPr>
        <w:t xml:space="preserve">as </w:t>
      </w:r>
      <w:proofErr w:type="gramStart"/>
      <w:r w:rsidRPr="002474F1">
        <w:rPr>
          <w:rStyle w:val="Strong"/>
        </w:rPr>
        <w:t>at</w:t>
      </w:r>
      <w:proofErr w:type="gramEnd"/>
      <w:r w:rsidRPr="002474F1">
        <w:rPr>
          <w:rStyle w:val="Strong"/>
        </w:rPr>
        <w:t xml:space="preserve"> 30 June 2021</w:t>
      </w:r>
    </w:p>
    <w:p w14:paraId="21F1EC08" w14:textId="58F8A2FB" w:rsidR="002474F1" w:rsidRDefault="002474F1" w:rsidP="002474F1">
      <w:pPr>
        <w:rPr>
          <w:rStyle w:val="Strong"/>
        </w:rPr>
      </w:pPr>
    </w:p>
    <w:tbl>
      <w:tblPr>
        <w:tblStyle w:val="TableGrid"/>
        <w:tblW w:w="5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38"/>
        <w:gridCol w:w="1304"/>
        <w:gridCol w:w="1304"/>
      </w:tblGrid>
      <w:tr w:rsidR="002474F1" w14:paraId="38A7159D" w14:textId="77777777" w:rsidTr="00294718">
        <w:tc>
          <w:tcPr>
            <w:tcW w:w="2438" w:type="dxa"/>
            <w:tcBorders>
              <w:bottom w:val="single" w:sz="4" w:space="0" w:color="652266" w:themeColor="accent1"/>
            </w:tcBorders>
          </w:tcPr>
          <w:p w14:paraId="4A79B3F5" w14:textId="77777777" w:rsidR="002474F1" w:rsidRPr="00F43A71" w:rsidRDefault="002474F1" w:rsidP="00A24584">
            <w:pPr>
              <w:rPr>
                <w:rStyle w:val="BoldPurple"/>
              </w:rPr>
            </w:pPr>
          </w:p>
        </w:tc>
        <w:tc>
          <w:tcPr>
            <w:tcW w:w="1304" w:type="dxa"/>
            <w:tcBorders>
              <w:bottom w:val="single" w:sz="4" w:space="0" w:color="652266" w:themeColor="accent1"/>
            </w:tcBorders>
            <w:shd w:val="clear" w:color="auto" w:fill="F2E6F1"/>
          </w:tcPr>
          <w:p w14:paraId="39F996F2" w14:textId="77777777" w:rsidR="002474F1" w:rsidRPr="00F43A71" w:rsidRDefault="002474F1" w:rsidP="0086644B">
            <w:pPr>
              <w:jc w:val="right"/>
              <w:rPr>
                <w:rStyle w:val="BoldPurple"/>
              </w:rPr>
            </w:pPr>
            <w:r w:rsidRPr="00F43A71">
              <w:rPr>
                <w:rStyle w:val="BoldPurple"/>
              </w:rPr>
              <w:t>2021</w:t>
            </w:r>
          </w:p>
          <w:p w14:paraId="37208CB2" w14:textId="77777777" w:rsidR="002474F1" w:rsidRPr="00F43A71" w:rsidRDefault="002474F1" w:rsidP="0086644B">
            <w:pPr>
              <w:jc w:val="right"/>
              <w:rPr>
                <w:rStyle w:val="BoldPurple"/>
              </w:rPr>
            </w:pPr>
            <w:r w:rsidRPr="00F43A71">
              <w:rPr>
                <w:rStyle w:val="BoldPurple"/>
              </w:rPr>
              <w:t>$</w:t>
            </w:r>
          </w:p>
        </w:tc>
        <w:tc>
          <w:tcPr>
            <w:tcW w:w="1304" w:type="dxa"/>
            <w:tcBorders>
              <w:bottom w:val="single" w:sz="4" w:space="0" w:color="652266" w:themeColor="accent1"/>
            </w:tcBorders>
          </w:tcPr>
          <w:p w14:paraId="76C246C7" w14:textId="77777777" w:rsidR="002474F1" w:rsidRPr="00F43A71" w:rsidRDefault="002474F1" w:rsidP="0086644B">
            <w:pPr>
              <w:jc w:val="right"/>
              <w:rPr>
                <w:rStyle w:val="BoldPurple"/>
              </w:rPr>
            </w:pPr>
            <w:r w:rsidRPr="00F43A71">
              <w:rPr>
                <w:rStyle w:val="BoldPurple"/>
              </w:rPr>
              <w:t>2020</w:t>
            </w:r>
          </w:p>
          <w:p w14:paraId="16223063" w14:textId="77777777" w:rsidR="002474F1" w:rsidRPr="00F43A71" w:rsidRDefault="002474F1" w:rsidP="0086644B">
            <w:pPr>
              <w:jc w:val="right"/>
              <w:rPr>
                <w:rStyle w:val="BoldPurple"/>
              </w:rPr>
            </w:pPr>
            <w:r w:rsidRPr="00F43A71">
              <w:rPr>
                <w:rStyle w:val="BoldPurple"/>
              </w:rPr>
              <w:t>$</w:t>
            </w:r>
          </w:p>
        </w:tc>
      </w:tr>
      <w:tr w:rsidR="002474F1" w14:paraId="49E19D91" w14:textId="77777777" w:rsidTr="00294718">
        <w:tc>
          <w:tcPr>
            <w:tcW w:w="2438" w:type="dxa"/>
            <w:tcBorders>
              <w:top w:val="single" w:sz="4" w:space="0" w:color="652266" w:themeColor="accent1"/>
            </w:tcBorders>
          </w:tcPr>
          <w:p w14:paraId="7CF50518" w14:textId="3F556542" w:rsidR="002474F1" w:rsidRPr="00F43A71" w:rsidRDefault="0086644B" w:rsidP="00A24584">
            <w:pPr>
              <w:rPr>
                <w:rStyle w:val="BoldPurple"/>
              </w:rPr>
            </w:pPr>
            <w:r>
              <w:rPr>
                <w:rStyle w:val="BoldPurple"/>
              </w:rPr>
              <w:t>ASSETS</w:t>
            </w:r>
          </w:p>
        </w:tc>
        <w:tc>
          <w:tcPr>
            <w:tcW w:w="1304" w:type="dxa"/>
            <w:tcBorders>
              <w:top w:val="single" w:sz="4" w:space="0" w:color="652266" w:themeColor="accent1"/>
            </w:tcBorders>
            <w:shd w:val="clear" w:color="auto" w:fill="F2E6F1"/>
          </w:tcPr>
          <w:p w14:paraId="5ED15A7C" w14:textId="77777777" w:rsidR="002474F1" w:rsidRDefault="002474F1" w:rsidP="0086644B">
            <w:pPr>
              <w:jc w:val="right"/>
            </w:pPr>
          </w:p>
        </w:tc>
        <w:tc>
          <w:tcPr>
            <w:tcW w:w="1304" w:type="dxa"/>
            <w:tcBorders>
              <w:top w:val="single" w:sz="4" w:space="0" w:color="652266" w:themeColor="accent1"/>
            </w:tcBorders>
          </w:tcPr>
          <w:p w14:paraId="20892F20" w14:textId="77777777" w:rsidR="002474F1" w:rsidRDefault="002474F1" w:rsidP="0086644B">
            <w:pPr>
              <w:jc w:val="right"/>
            </w:pPr>
          </w:p>
        </w:tc>
      </w:tr>
      <w:tr w:rsidR="0086644B" w14:paraId="69AB831F" w14:textId="77777777" w:rsidTr="00294718">
        <w:tc>
          <w:tcPr>
            <w:tcW w:w="2438" w:type="dxa"/>
          </w:tcPr>
          <w:p w14:paraId="6F668D54" w14:textId="053DDEF3" w:rsidR="0086644B" w:rsidRDefault="0086644B" w:rsidP="0086644B">
            <w:r>
              <w:rPr>
                <w:rStyle w:val="Strong"/>
              </w:rPr>
              <w:t>Current Assets</w:t>
            </w:r>
          </w:p>
        </w:tc>
        <w:tc>
          <w:tcPr>
            <w:tcW w:w="1304" w:type="dxa"/>
            <w:shd w:val="clear" w:color="auto" w:fill="F2E6F1"/>
          </w:tcPr>
          <w:p w14:paraId="4C48BE8F" w14:textId="319EC6AD" w:rsidR="0086644B" w:rsidRDefault="0086644B" w:rsidP="0086644B">
            <w:pPr>
              <w:jc w:val="right"/>
            </w:pPr>
          </w:p>
        </w:tc>
        <w:tc>
          <w:tcPr>
            <w:tcW w:w="1304" w:type="dxa"/>
          </w:tcPr>
          <w:p w14:paraId="1DC35549" w14:textId="3338AFBE" w:rsidR="0086644B" w:rsidRDefault="0086644B" w:rsidP="0086644B">
            <w:pPr>
              <w:jc w:val="right"/>
            </w:pPr>
          </w:p>
        </w:tc>
      </w:tr>
      <w:tr w:rsidR="0086644B" w14:paraId="498973A8" w14:textId="77777777" w:rsidTr="00294718">
        <w:tc>
          <w:tcPr>
            <w:tcW w:w="2438" w:type="dxa"/>
          </w:tcPr>
          <w:p w14:paraId="73D21F8A" w14:textId="20BADE26" w:rsidR="0086644B" w:rsidRPr="002474F1" w:rsidRDefault="0086644B" w:rsidP="0086644B">
            <w:r>
              <w:t>Cash and cash equivalents</w:t>
            </w:r>
          </w:p>
        </w:tc>
        <w:tc>
          <w:tcPr>
            <w:tcW w:w="1304" w:type="dxa"/>
            <w:shd w:val="clear" w:color="auto" w:fill="F2E6F1"/>
          </w:tcPr>
          <w:p w14:paraId="5F10E4D2" w14:textId="3BE90E47" w:rsidR="0086644B" w:rsidRPr="002474F1" w:rsidRDefault="0086644B" w:rsidP="0086644B">
            <w:pPr>
              <w:jc w:val="right"/>
            </w:pPr>
            <w:r>
              <w:t>2,899,039</w:t>
            </w:r>
          </w:p>
        </w:tc>
        <w:tc>
          <w:tcPr>
            <w:tcW w:w="1304" w:type="dxa"/>
          </w:tcPr>
          <w:p w14:paraId="26273783" w14:textId="76D595A7" w:rsidR="0086644B" w:rsidRPr="002474F1" w:rsidRDefault="0086644B" w:rsidP="0086644B">
            <w:pPr>
              <w:jc w:val="right"/>
            </w:pPr>
            <w:r>
              <w:t>2,762,058</w:t>
            </w:r>
          </w:p>
        </w:tc>
      </w:tr>
      <w:tr w:rsidR="0086644B" w14:paraId="57B51FD9" w14:textId="77777777" w:rsidTr="00294718">
        <w:tc>
          <w:tcPr>
            <w:tcW w:w="2438" w:type="dxa"/>
          </w:tcPr>
          <w:p w14:paraId="3926D06B" w14:textId="7ADB1C07" w:rsidR="0086644B" w:rsidRPr="002474F1" w:rsidRDefault="0086644B" w:rsidP="0086644B">
            <w:r>
              <w:t>Trade and other receivables</w:t>
            </w:r>
          </w:p>
        </w:tc>
        <w:tc>
          <w:tcPr>
            <w:tcW w:w="1304" w:type="dxa"/>
            <w:shd w:val="clear" w:color="auto" w:fill="F2E6F1"/>
          </w:tcPr>
          <w:p w14:paraId="2116714A" w14:textId="42CF3C31" w:rsidR="0086644B" w:rsidRPr="002474F1" w:rsidRDefault="0086644B" w:rsidP="0086644B">
            <w:pPr>
              <w:jc w:val="right"/>
            </w:pPr>
            <w:r>
              <w:t>5,135</w:t>
            </w:r>
          </w:p>
        </w:tc>
        <w:tc>
          <w:tcPr>
            <w:tcW w:w="1304" w:type="dxa"/>
          </w:tcPr>
          <w:p w14:paraId="7504E43E" w14:textId="23450330" w:rsidR="0086644B" w:rsidRPr="002474F1" w:rsidRDefault="0086644B" w:rsidP="0086644B">
            <w:pPr>
              <w:jc w:val="right"/>
            </w:pPr>
            <w:r>
              <w:t>13,154</w:t>
            </w:r>
          </w:p>
        </w:tc>
      </w:tr>
      <w:tr w:rsidR="005F5E64" w14:paraId="28D47991" w14:textId="77777777" w:rsidTr="00294718">
        <w:tc>
          <w:tcPr>
            <w:tcW w:w="2438" w:type="dxa"/>
            <w:tcBorders>
              <w:bottom w:val="single" w:sz="4" w:space="0" w:color="652266" w:themeColor="accent1"/>
            </w:tcBorders>
          </w:tcPr>
          <w:p w14:paraId="5A93B573" w14:textId="299804AE" w:rsidR="0086644B" w:rsidRPr="002474F1" w:rsidRDefault="0086644B" w:rsidP="0086644B">
            <w:r>
              <w:t>Other current assets</w:t>
            </w:r>
          </w:p>
        </w:tc>
        <w:tc>
          <w:tcPr>
            <w:tcW w:w="1304" w:type="dxa"/>
            <w:tcBorders>
              <w:bottom w:val="single" w:sz="4" w:space="0" w:color="652266" w:themeColor="accent1"/>
            </w:tcBorders>
            <w:shd w:val="clear" w:color="auto" w:fill="F2E6F1"/>
          </w:tcPr>
          <w:p w14:paraId="6FA4F303" w14:textId="47F8628C" w:rsidR="0086644B" w:rsidRPr="002474F1" w:rsidRDefault="0086644B" w:rsidP="0086644B">
            <w:pPr>
              <w:jc w:val="right"/>
            </w:pPr>
            <w:r>
              <w:t>43,018</w:t>
            </w:r>
          </w:p>
        </w:tc>
        <w:tc>
          <w:tcPr>
            <w:tcW w:w="1304" w:type="dxa"/>
            <w:tcBorders>
              <w:bottom w:val="single" w:sz="4" w:space="0" w:color="652266" w:themeColor="accent1"/>
            </w:tcBorders>
          </w:tcPr>
          <w:p w14:paraId="260BAC0F" w14:textId="1EE97ECF" w:rsidR="0086644B" w:rsidRPr="002474F1" w:rsidRDefault="0086644B" w:rsidP="0086644B">
            <w:pPr>
              <w:jc w:val="right"/>
            </w:pPr>
            <w:r>
              <w:t>53,450</w:t>
            </w:r>
          </w:p>
        </w:tc>
      </w:tr>
      <w:tr w:rsidR="005F5E64" w14:paraId="27BE8F75" w14:textId="77777777" w:rsidTr="00294718">
        <w:tc>
          <w:tcPr>
            <w:tcW w:w="2438" w:type="dxa"/>
            <w:tcBorders>
              <w:top w:val="single" w:sz="4" w:space="0" w:color="652266" w:themeColor="accent1"/>
              <w:bottom w:val="single" w:sz="4" w:space="0" w:color="652266" w:themeColor="accent1"/>
            </w:tcBorders>
          </w:tcPr>
          <w:p w14:paraId="7A487967" w14:textId="205D6472" w:rsidR="0086644B" w:rsidRPr="002474F1" w:rsidRDefault="0086644B" w:rsidP="0086644B">
            <w:r>
              <w:rPr>
                <w:rStyle w:val="Strong"/>
              </w:rPr>
              <w:t>Total Current Assets</w:t>
            </w:r>
          </w:p>
        </w:tc>
        <w:tc>
          <w:tcPr>
            <w:tcW w:w="1304" w:type="dxa"/>
            <w:tcBorders>
              <w:top w:val="single" w:sz="4" w:space="0" w:color="652266" w:themeColor="accent1"/>
              <w:bottom w:val="single" w:sz="4" w:space="0" w:color="652266" w:themeColor="accent1"/>
            </w:tcBorders>
            <w:shd w:val="clear" w:color="auto" w:fill="F2E6F1"/>
          </w:tcPr>
          <w:p w14:paraId="49665A6E" w14:textId="39E31B64" w:rsidR="0086644B" w:rsidRPr="002474F1" w:rsidRDefault="0086644B" w:rsidP="0086644B">
            <w:pPr>
              <w:jc w:val="right"/>
            </w:pPr>
            <w:r>
              <w:t>2,947,192</w:t>
            </w:r>
          </w:p>
        </w:tc>
        <w:tc>
          <w:tcPr>
            <w:tcW w:w="1304" w:type="dxa"/>
            <w:tcBorders>
              <w:top w:val="single" w:sz="4" w:space="0" w:color="652266" w:themeColor="accent1"/>
              <w:bottom w:val="single" w:sz="4" w:space="0" w:color="652266" w:themeColor="accent1"/>
            </w:tcBorders>
          </w:tcPr>
          <w:p w14:paraId="76A80B18" w14:textId="589EAB16" w:rsidR="0086644B" w:rsidRPr="002474F1" w:rsidRDefault="0086644B" w:rsidP="0086644B">
            <w:pPr>
              <w:jc w:val="right"/>
            </w:pPr>
            <w:r>
              <w:t>2,828,662</w:t>
            </w:r>
          </w:p>
        </w:tc>
      </w:tr>
      <w:tr w:rsidR="005F5E64" w14:paraId="6F27DA13" w14:textId="77777777" w:rsidTr="00294718">
        <w:tc>
          <w:tcPr>
            <w:tcW w:w="2438" w:type="dxa"/>
            <w:tcBorders>
              <w:top w:val="single" w:sz="4" w:space="0" w:color="652266" w:themeColor="accent1"/>
            </w:tcBorders>
          </w:tcPr>
          <w:p w14:paraId="5492392B" w14:textId="33DA91AA" w:rsidR="002474F1" w:rsidRPr="002474F1" w:rsidRDefault="002474F1" w:rsidP="002474F1"/>
        </w:tc>
        <w:tc>
          <w:tcPr>
            <w:tcW w:w="1304" w:type="dxa"/>
            <w:tcBorders>
              <w:top w:val="single" w:sz="4" w:space="0" w:color="652266" w:themeColor="accent1"/>
            </w:tcBorders>
            <w:shd w:val="clear" w:color="auto" w:fill="F2E6F1"/>
          </w:tcPr>
          <w:p w14:paraId="08A81345" w14:textId="4C64032C" w:rsidR="002474F1" w:rsidRPr="002474F1" w:rsidRDefault="002474F1" w:rsidP="0086644B">
            <w:pPr>
              <w:jc w:val="right"/>
            </w:pPr>
          </w:p>
        </w:tc>
        <w:tc>
          <w:tcPr>
            <w:tcW w:w="1304" w:type="dxa"/>
            <w:tcBorders>
              <w:top w:val="single" w:sz="4" w:space="0" w:color="652266" w:themeColor="accent1"/>
            </w:tcBorders>
          </w:tcPr>
          <w:p w14:paraId="32F80014" w14:textId="07FE9342" w:rsidR="002474F1" w:rsidRPr="002474F1" w:rsidRDefault="002474F1" w:rsidP="0086644B">
            <w:pPr>
              <w:jc w:val="right"/>
            </w:pPr>
          </w:p>
        </w:tc>
      </w:tr>
      <w:tr w:rsidR="005F5E64" w14:paraId="6587C46D" w14:textId="77777777" w:rsidTr="00294718">
        <w:tc>
          <w:tcPr>
            <w:tcW w:w="2438" w:type="dxa"/>
          </w:tcPr>
          <w:p w14:paraId="66E610CC" w14:textId="52BD55F3" w:rsidR="0086644B" w:rsidRPr="002474F1" w:rsidRDefault="0086644B" w:rsidP="0086644B">
            <w:r>
              <w:rPr>
                <w:rStyle w:val="Strong"/>
              </w:rPr>
              <w:t>Non-Current Assets</w:t>
            </w:r>
          </w:p>
        </w:tc>
        <w:tc>
          <w:tcPr>
            <w:tcW w:w="1304" w:type="dxa"/>
            <w:shd w:val="clear" w:color="auto" w:fill="F2E6F1"/>
          </w:tcPr>
          <w:p w14:paraId="231F52BB" w14:textId="6C4F90A3" w:rsidR="0086644B" w:rsidRPr="002474F1" w:rsidRDefault="0086644B" w:rsidP="0086644B">
            <w:pPr>
              <w:jc w:val="right"/>
            </w:pPr>
          </w:p>
        </w:tc>
        <w:tc>
          <w:tcPr>
            <w:tcW w:w="1304" w:type="dxa"/>
          </w:tcPr>
          <w:p w14:paraId="03B583A3" w14:textId="63130910" w:rsidR="0086644B" w:rsidRPr="002474F1" w:rsidRDefault="0086644B" w:rsidP="0086644B">
            <w:pPr>
              <w:jc w:val="right"/>
            </w:pPr>
          </w:p>
        </w:tc>
      </w:tr>
      <w:tr w:rsidR="00294718" w14:paraId="6C788214" w14:textId="77777777" w:rsidTr="00294718">
        <w:tc>
          <w:tcPr>
            <w:tcW w:w="2438" w:type="dxa"/>
            <w:tcBorders>
              <w:bottom w:val="single" w:sz="4" w:space="0" w:color="652266" w:themeColor="accent1"/>
            </w:tcBorders>
          </w:tcPr>
          <w:p w14:paraId="24877CFD" w14:textId="44972617" w:rsidR="0086644B" w:rsidRPr="002474F1" w:rsidRDefault="0086644B" w:rsidP="0086644B">
            <w:r>
              <w:t>Property, plant &amp; equipment</w:t>
            </w:r>
          </w:p>
        </w:tc>
        <w:tc>
          <w:tcPr>
            <w:tcW w:w="1304" w:type="dxa"/>
            <w:tcBorders>
              <w:bottom w:val="single" w:sz="4" w:space="0" w:color="652266" w:themeColor="accent1"/>
            </w:tcBorders>
            <w:shd w:val="clear" w:color="auto" w:fill="F2E6F1"/>
          </w:tcPr>
          <w:p w14:paraId="7CD2C541" w14:textId="759D1FE3" w:rsidR="0086644B" w:rsidRPr="002474F1" w:rsidRDefault="0086644B" w:rsidP="0086644B">
            <w:pPr>
              <w:jc w:val="right"/>
            </w:pPr>
            <w:r>
              <w:t>4,522</w:t>
            </w:r>
          </w:p>
        </w:tc>
        <w:tc>
          <w:tcPr>
            <w:tcW w:w="1304" w:type="dxa"/>
            <w:tcBorders>
              <w:bottom w:val="single" w:sz="4" w:space="0" w:color="652266" w:themeColor="accent1"/>
            </w:tcBorders>
          </w:tcPr>
          <w:p w14:paraId="3CE65C87" w14:textId="27DD3802" w:rsidR="0086644B" w:rsidRPr="002474F1" w:rsidRDefault="0086644B" w:rsidP="0086644B">
            <w:pPr>
              <w:jc w:val="right"/>
            </w:pPr>
            <w:r>
              <w:t>19,671</w:t>
            </w:r>
          </w:p>
        </w:tc>
      </w:tr>
      <w:tr w:rsidR="00294718" w14:paraId="2E6ABF0B" w14:textId="77777777" w:rsidTr="00294718">
        <w:tc>
          <w:tcPr>
            <w:tcW w:w="2438" w:type="dxa"/>
            <w:tcBorders>
              <w:top w:val="single" w:sz="4" w:space="0" w:color="652266" w:themeColor="accent1"/>
              <w:bottom w:val="single" w:sz="4" w:space="0" w:color="652266" w:themeColor="accent1"/>
            </w:tcBorders>
          </w:tcPr>
          <w:p w14:paraId="66232DB4" w14:textId="6CBA77F8" w:rsidR="0086644B" w:rsidRPr="002474F1" w:rsidRDefault="0086644B" w:rsidP="0086644B">
            <w:r>
              <w:rPr>
                <w:rStyle w:val="Strong"/>
              </w:rPr>
              <w:t>Total Non-Current Assets</w:t>
            </w:r>
          </w:p>
        </w:tc>
        <w:tc>
          <w:tcPr>
            <w:tcW w:w="1304" w:type="dxa"/>
            <w:tcBorders>
              <w:top w:val="single" w:sz="4" w:space="0" w:color="652266" w:themeColor="accent1"/>
              <w:bottom w:val="single" w:sz="4" w:space="0" w:color="652266" w:themeColor="accent1"/>
            </w:tcBorders>
            <w:shd w:val="clear" w:color="auto" w:fill="F2E6F1"/>
            <w:vAlign w:val="bottom"/>
          </w:tcPr>
          <w:p w14:paraId="6E9D36B8" w14:textId="48995DBA" w:rsidR="0086644B" w:rsidRPr="002474F1" w:rsidRDefault="0086644B" w:rsidP="0086644B">
            <w:pPr>
              <w:jc w:val="right"/>
            </w:pPr>
            <w:r>
              <w:t>4,522</w:t>
            </w:r>
          </w:p>
        </w:tc>
        <w:tc>
          <w:tcPr>
            <w:tcW w:w="1304" w:type="dxa"/>
            <w:tcBorders>
              <w:top w:val="single" w:sz="4" w:space="0" w:color="652266" w:themeColor="accent1"/>
              <w:bottom w:val="single" w:sz="4" w:space="0" w:color="652266" w:themeColor="accent1"/>
            </w:tcBorders>
            <w:vAlign w:val="bottom"/>
          </w:tcPr>
          <w:p w14:paraId="20491301" w14:textId="3EAD937E" w:rsidR="0086644B" w:rsidRPr="002474F1" w:rsidRDefault="0086644B" w:rsidP="0086644B">
            <w:pPr>
              <w:jc w:val="right"/>
            </w:pPr>
            <w:r>
              <w:t>19,671</w:t>
            </w:r>
          </w:p>
        </w:tc>
      </w:tr>
      <w:tr w:rsidR="00294718" w14:paraId="085E0E5F" w14:textId="77777777" w:rsidTr="00294718">
        <w:tc>
          <w:tcPr>
            <w:tcW w:w="2438" w:type="dxa"/>
            <w:tcBorders>
              <w:top w:val="single" w:sz="4" w:space="0" w:color="652266" w:themeColor="accent1"/>
              <w:bottom w:val="single" w:sz="12" w:space="0" w:color="652266" w:themeColor="accent1"/>
            </w:tcBorders>
          </w:tcPr>
          <w:p w14:paraId="502FCCE1" w14:textId="24002A55" w:rsidR="0086644B" w:rsidRPr="002474F1" w:rsidRDefault="0086644B" w:rsidP="0086644B">
            <w:r>
              <w:rPr>
                <w:rStyle w:val="Strong"/>
              </w:rPr>
              <w:t>Total Assets</w:t>
            </w:r>
          </w:p>
        </w:tc>
        <w:tc>
          <w:tcPr>
            <w:tcW w:w="1304" w:type="dxa"/>
            <w:tcBorders>
              <w:top w:val="single" w:sz="4" w:space="0" w:color="652266" w:themeColor="accent1"/>
              <w:bottom w:val="single" w:sz="12" w:space="0" w:color="652266" w:themeColor="accent1"/>
            </w:tcBorders>
            <w:shd w:val="clear" w:color="auto" w:fill="F2E6F1"/>
          </w:tcPr>
          <w:p w14:paraId="54D3C34E" w14:textId="3564C563" w:rsidR="0086644B" w:rsidRPr="002474F1" w:rsidRDefault="0086644B" w:rsidP="0086644B">
            <w:pPr>
              <w:jc w:val="right"/>
            </w:pPr>
            <w:r>
              <w:t>2,951,714</w:t>
            </w:r>
          </w:p>
        </w:tc>
        <w:tc>
          <w:tcPr>
            <w:tcW w:w="1304" w:type="dxa"/>
            <w:tcBorders>
              <w:top w:val="single" w:sz="4" w:space="0" w:color="652266" w:themeColor="accent1"/>
              <w:bottom w:val="single" w:sz="12" w:space="0" w:color="652266" w:themeColor="accent1"/>
            </w:tcBorders>
          </w:tcPr>
          <w:p w14:paraId="5AF872EF" w14:textId="75F53DE1" w:rsidR="0086644B" w:rsidRPr="002474F1" w:rsidRDefault="0086644B" w:rsidP="0086644B">
            <w:pPr>
              <w:jc w:val="right"/>
            </w:pPr>
            <w:r>
              <w:t>2,848,333</w:t>
            </w:r>
          </w:p>
        </w:tc>
      </w:tr>
      <w:tr w:rsidR="005F5E64" w14:paraId="7CECE87D" w14:textId="77777777" w:rsidTr="00294718">
        <w:tc>
          <w:tcPr>
            <w:tcW w:w="2438" w:type="dxa"/>
            <w:tcBorders>
              <w:top w:val="single" w:sz="12" w:space="0" w:color="652266" w:themeColor="accent1"/>
            </w:tcBorders>
          </w:tcPr>
          <w:p w14:paraId="1B5A1A4C" w14:textId="1924A4EA" w:rsidR="002474F1" w:rsidRPr="002474F1" w:rsidRDefault="002474F1" w:rsidP="002474F1"/>
        </w:tc>
        <w:tc>
          <w:tcPr>
            <w:tcW w:w="1304" w:type="dxa"/>
            <w:tcBorders>
              <w:top w:val="single" w:sz="12" w:space="0" w:color="652266" w:themeColor="accent1"/>
            </w:tcBorders>
            <w:shd w:val="clear" w:color="auto" w:fill="F2E6F1"/>
          </w:tcPr>
          <w:p w14:paraId="6AAF8988" w14:textId="26A16822" w:rsidR="002474F1" w:rsidRPr="002474F1" w:rsidRDefault="002474F1" w:rsidP="0086644B">
            <w:pPr>
              <w:jc w:val="right"/>
            </w:pPr>
          </w:p>
        </w:tc>
        <w:tc>
          <w:tcPr>
            <w:tcW w:w="1304" w:type="dxa"/>
            <w:tcBorders>
              <w:top w:val="single" w:sz="12" w:space="0" w:color="652266" w:themeColor="accent1"/>
            </w:tcBorders>
          </w:tcPr>
          <w:p w14:paraId="6B3C21E3" w14:textId="2B42396A" w:rsidR="002474F1" w:rsidRPr="002474F1" w:rsidRDefault="002474F1" w:rsidP="0086644B">
            <w:pPr>
              <w:jc w:val="right"/>
            </w:pPr>
          </w:p>
        </w:tc>
      </w:tr>
      <w:tr w:rsidR="0086644B" w14:paraId="7410FB36" w14:textId="77777777" w:rsidTr="00294718">
        <w:tc>
          <w:tcPr>
            <w:tcW w:w="2438" w:type="dxa"/>
          </w:tcPr>
          <w:p w14:paraId="5726B360" w14:textId="47DA0596" w:rsidR="0086644B" w:rsidRPr="0086644B" w:rsidRDefault="0086644B" w:rsidP="002474F1">
            <w:pPr>
              <w:rPr>
                <w:rStyle w:val="BoldPurple"/>
              </w:rPr>
            </w:pPr>
            <w:r w:rsidRPr="0086644B">
              <w:rPr>
                <w:rStyle w:val="BoldPurple"/>
              </w:rPr>
              <w:t>LIABILITIES</w:t>
            </w:r>
          </w:p>
        </w:tc>
        <w:tc>
          <w:tcPr>
            <w:tcW w:w="1304" w:type="dxa"/>
            <w:shd w:val="clear" w:color="auto" w:fill="F2E6F1"/>
          </w:tcPr>
          <w:p w14:paraId="02BC5A92" w14:textId="77777777" w:rsidR="0086644B" w:rsidRPr="002474F1" w:rsidRDefault="0086644B" w:rsidP="0086644B">
            <w:pPr>
              <w:jc w:val="right"/>
            </w:pPr>
          </w:p>
        </w:tc>
        <w:tc>
          <w:tcPr>
            <w:tcW w:w="1304" w:type="dxa"/>
          </w:tcPr>
          <w:p w14:paraId="0EEB4DB6" w14:textId="77777777" w:rsidR="0086644B" w:rsidRPr="002474F1" w:rsidRDefault="0086644B" w:rsidP="0086644B">
            <w:pPr>
              <w:jc w:val="right"/>
            </w:pPr>
          </w:p>
        </w:tc>
      </w:tr>
      <w:tr w:rsidR="0086644B" w14:paraId="16B6C552" w14:textId="77777777" w:rsidTr="00294718">
        <w:tc>
          <w:tcPr>
            <w:tcW w:w="2438" w:type="dxa"/>
          </w:tcPr>
          <w:p w14:paraId="018A72A1" w14:textId="559B7FDB" w:rsidR="0086644B" w:rsidRPr="002474F1" w:rsidRDefault="0086644B" w:rsidP="0086644B">
            <w:r>
              <w:rPr>
                <w:rStyle w:val="Strong"/>
              </w:rPr>
              <w:t>Current Liabilities</w:t>
            </w:r>
          </w:p>
        </w:tc>
        <w:tc>
          <w:tcPr>
            <w:tcW w:w="1304" w:type="dxa"/>
            <w:shd w:val="clear" w:color="auto" w:fill="F2E6F1"/>
          </w:tcPr>
          <w:p w14:paraId="375C3FFD" w14:textId="77777777" w:rsidR="0086644B" w:rsidRPr="002474F1" w:rsidRDefault="0086644B" w:rsidP="0086644B">
            <w:pPr>
              <w:jc w:val="right"/>
            </w:pPr>
          </w:p>
        </w:tc>
        <w:tc>
          <w:tcPr>
            <w:tcW w:w="1304" w:type="dxa"/>
          </w:tcPr>
          <w:p w14:paraId="690F9AE9" w14:textId="77777777" w:rsidR="0086644B" w:rsidRPr="002474F1" w:rsidRDefault="0086644B" w:rsidP="0086644B">
            <w:pPr>
              <w:jc w:val="right"/>
            </w:pPr>
          </w:p>
        </w:tc>
      </w:tr>
      <w:tr w:rsidR="0086644B" w14:paraId="4B500FAA" w14:textId="77777777" w:rsidTr="00294718">
        <w:tc>
          <w:tcPr>
            <w:tcW w:w="2438" w:type="dxa"/>
            <w:tcBorders>
              <w:bottom w:val="single" w:sz="4" w:space="0" w:color="652266" w:themeColor="accent1"/>
            </w:tcBorders>
          </w:tcPr>
          <w:p w14:paraId="7CD4A0F0" w14:textId="4984E88C" w:rsidR="0086644B" w:rsidRPr="002474F1" w:rsidRDefault="0086644B" w:rsidP="0086644B">
            <w:r>
              <w:t>Trade and other payables</w:t>
            </w:r>
          </w:p>
        </w:tc>
        <w:tc>
          <w:tcPr>
            <w:tcW w:w="1304" w:type="dxa"/>
            <w:tcBorders>
              <w:bottom w:val="single" w:sz="4" w:space="0" w:color="652266" w:themeColor="accent1"/>
            </w:tcBorders>
            <w:shd w:val="clear" w:color="auto" w:fill="F2E6F1"/>
            <w:vAlign w:val="bottom"/>
          </w:tcPr>
          <w:p w14:paraId="042EFF0B" w14:textId="0ADA2398" w:rsidR="0086644B" w:rsidRPr="002474F1" w:rsidRDefault="0086644B" w:rsidP="0086644B">
            <w:pPr>
              <w:jc w:val="right"/>
            </w:pPr>
            <w:r>
              <w:t>1,026,947</w:t>
            </w:r>
          </w:p>
        </w:tc>
        <w:tc>
          <w:tcPr>
            <w:tcW w:w="1304" w:type="dxa"/>
            <w:tcBorders>
              <w:bottom w:val="single" w:sz="4" w:space="0" w:color="652266" w:themeColor="accent1"/>
            </w:tcBorders>
            <w:vAlign w:val="bottom"/>
          </w:tcPr>
          <w:p w14:paraId="19FAF32F" w14:textId="6D9444CC" w:rsidR="0086644B" w:rsidRPr="002474F1" w:rsidRDefault="0086644B" w:rsidP="0086644B">
            <w:pPr>
              <w:jc w:val="right"/>
            </w:pPr>
            <w:r>
              <w:t>1,380,371</w:t>
            </w:r>
          </w:p>
        </w:tc>
      </w:tr>
      <w:tr w:rsidR="0086644B" w14:paraId="29FE3577" w14:textId="77777777" w:rsidTr="00294718">
        <w:tc>
          <w:tcPr>
            <w:tcW w:w="2438" w:type="dxa"/>
            <w:tcBorders>
              <w:top w:val="single" w:sz="4" w:space="0" w:color="652266" w:themeColor="accent1"/>
              <w:bottom w:val="single" w:sz="4" w:space="0" w:color="652266" w:themeColor="accent1"/>
            </w:tcBorders>
          </w:tcPr>
          <w:p w14:paraId="7DD6249F" w14:textId="6C204A5B" w:rsidR="0086644B" w:rsidRPr="002474F1" w:rsidRDefault="0086644B" w:rsidP="0086644B">
            <w:r>
              <w:rPr>
                <w:rStyle w:val="Strong"/>
              </w:rPr>
              <w:t>Total Current Liabilities</w:t>
            </w:r>
          </w:p>
        </w:tc>
        <w:tc>
          <w:tcPr>
            <w:tcW w:w="1304" w:type="dxa"/>
            <w:tcBorders>
              <w:top w:val="single" w:sz="4" w:space="0" w:color="652266" w:themeColor="accent1"/>
              <w:bottom w:val="single" w:sz="4" w:space="0" w:color="652266" w:themeColor="accent1"/>
            </w:tcBorders>
            <w:shd w:val="clear" w:color="auto" w:fill="F2E6F1"/>
            <w:vAlign w:val="bottom"/>
          </w:tcPr>
          <w:p w14:paraId="1B47ECE9" w14:textId="2DD175D4" w:rsidR="0086644B" w:rsidRPr="002474F1" w:rsidRDefault="0086644B" w:rsidP="0086644B">
            <w:pPr>
              <w:jc w:val="right"/>
            </w:pPr>
            <w:r>
              <w:t>1,026,947</w:t>
            </w:r>
          </w:p>
        </w:tc>
        <w:tc>
          <w:tcPr>
            <w:tcW w:w="1304" w:type="dxa"/>
            <w:tcBorders>
              <w:top w:val="single" w:sz="4" w:space="0" w:color="652266" w:themeColor="accent1"/>
              <w:bottom w:val="single" w:sz="4" w:space="0" w:color="652266" w:themeColor="accent1"/>
            </w:tcBorders>
            <w:vAlign w:val="bottom"/>
          </w:tcPr>
          <w:p w14:paraId="315877F1" w14:textId="57A207BA" w:rsidR="0086644B" w:rsidRPr="002474F1" w:rsidRDefault="0086644B" w:rsidP="0086644B">
            <w:pPr>
              <w:jc w:val="right"/>
            </w:pPr>
            <w:r>
              <w:t>1,380,371</w:t>
            </w:r>
          </w:p>
        </w:tc>
      </w:tr>
      <w:tr w:rsidR="0086644B" w14:paraId="78D9DD74" w14:textId="77777777" w:rsidTr="00294718">
        <w:tc>
          <w:tcPr>
            <w:tcW w:w="2438" w:type="dxa"/>
            <w:tcBorders>
              <w:top w:val="single" w:sz="4" w:space="0" w:color="652266" w:themeColor="accent1"/>
            </w:tcBorders>
          </w:tcPr>
          <w:p w14:paraId="1D642C78" w14:textId="77777777" w:rsidR="0086644B" w:rsidRPr="002474F1" w:rsidRDefault="0086644B" w:rsidP="002474F1"/>
        </w:tc>
        <w:tc>
          <w:tcPr>
            <w:tcW w:w="1304" w:type="dxa"/>
            <w:tcBorders>
              <w:top w:val="single" w:sz="4" w:space="0" w:color="652266" w:themeColor="accent1"/>
            </w:tcBorders>
            <w:shd w:val="clear" w:color="auto" w:fill="F2E6F1"/>
          </w:tcPr>
          <w:p w14:paraId="270AC2C0" w14:textId="77777777" w:rsidR="0086644B" w:rsidRPr="002474F1" w:rsidRDefault="0086644B" w:rsidP="0086644B">
            <w:pPr>
              <w:jc w:val="right"/>
            </w:pPr>
          </w:p>
        </w:tc>
        <w:tc>
          <w:tcPr>
            <w:tcW w:w="1304" w:type="dxa"/>
            <w:tcBorders>
              <w:top w:val="single" w:sz="4" w:space="0" w:color="652266" w:themeColor="accent1"/>
            </w:tcBorders>
          </w:tcPr>
          <w:p w14:paraId="62DDFA58" w14:textId="77777777" w:rsidR="0086644B" w:rsidRPr="002474F1" w:rsidRDefault="0086644B" w:rsidP="0086644B">
            <w:pPr>
              <w:jc w:val="right"/>
            </w:pPr>
          </w:p>
        </w:tc>
      </w:tr>
      <w:tr w:rsidR="0086644B" w14:paraId="007CF2C6" w14:textId="77777777" w:rsidTr="00294718">
        <w:tc>
          <w:tcPr>
            <w:tcW w:w="2438" w:type="dxa"/>
          </w:tcPr>
          <w:p w14:paraId="4CD38DD0" w14:textId="51C9E4C5" w:rsidR="0086644B" w:rsidRPr="002474F1" w:rsidRDefault="0086644B" w:rsidP="0086644B">
            <w:r>
              <w:rPr>
                <w:rStyle w:val="Strong"/>
              </w:rPr>
              <w:t>Non-Current Liabilities</w:t>
            </w:r>
          </w:p>
        </w:tc>
        <w:tc>
          <w:tcPr>
            <w:tcW w:w="1304" w:type="dxa"/>
            <w:shd w:val="clear" w:color="auto" w:fill="F2E6F1"/>
            <w:vAlign w:val="bottom"/>
          </w:tcPr>
          <w:p w14:paraId="6AF43795" w14:textId="77777777" w:rsidR="0086644B" w:rsidRPr="002474F1" w:rsidRDefault="0086644B" w:rsidP="0086644B">
            <w:pPr>
              <w:jc w:val="right"/>
            </w:pPr>
          </w:p>
        </w:tc>
        <w:tc>
          <w:tcPr>
            <w:tcW w:w="1304" w:type="dxa"/>
            <w:vAlign w:val="bottom"/>
          </w:tcPr>
          <w:p w14:paraId="360532DC" w14:textId="77777777" w:rsidR="0086644B" w:rsidRPr="002474F1" w:rsidRDefault="0086644B" w:rsidP="0086644B">
            <w:pPr>
              <w:jc w:val="right"/>
            </w:pPr>
          </w:p>
        </w:tc>
      </w:tr>
      <w:tr w:rsidR="0086644B" w14:paraId="5C75FA4A" w14:textId="77777777" w:rsidTr="00294718">
        <w:tc>
          <w:tcPr>
            <w:tcW w:w="2438" w:type="dxa"/>
            <w:tcBorders>
              <w:bottom w:val="single" w:sz="4" w:space="0" w:color="652266" w:themeColor="accent1"/>
            </w:tcBorders>
          </w:tcPr>
          <w:p w14:paraId="57DC25E8" w14:textId="323D085A" w:rsidR="0086644B" w:rsidRPr="002474F1" w:rsidRDefault="0086644B" w:rsidP="0086644B">
            <w:r>
              <w:t>Provisions</w:t>
            </w:r>
          </w:p>
        </w:tc>
        <w:tc>
          <w:tcPr>
            <w:tcW w:w="1304" w:type="dxa"/>
            <w:tcBorders>
              <w:bottom w:val="single" w:sz="4" w:space="0" w:color="652266" w:themeColor="accent1"/>
            </w:tcBorders>
            <w:shd w:val="clear" w:color="auto" w:fill="F2E6F1"/>
            <w:vAlign w:val="bottom"/>
          </w:tcPr>
          <w:p w14:paraId="33A708E7" w14:textId="6A764520" w:rsidR="0086644B" w:rsidRPr="002474F1" w:rsidRDefault="0086644B" w:rsidP="0086644B">
            <w:pPr>
              <w:jc w:val="right"/>
            </w:pPr>
            <w:r>
              <w:t>150,011</w:t>
            </w:r>
          </w:p>
        </w:tc>
        <w:tc>
          <w:tcPr>
            <w:tcW w:w="1304" w:type="dxa"/>
            <w:tcBorders>
              <w:bottom w:val="single" w:sz="4" w:space="0" w:color="652266" w:themeColor="accent1"/>
            </w:tcBorders>
            <w:vAlign w:val="bottom"/>
          </w:tcPr>
          <w:p w14:paraId="2A0D54AB" w14:textId="5646D40F" w:rsidR="0086644B" w:rsidRPr="002474F1" w:rsidRDefault="0086644B" w:rsidP="0086644B">
            <w:pPr>
              <w:jc w:val="right"/>
            </w:pPr>
            <w:r>
              <w:t>137,701</w:t>
            </w:r>
          </w:p>
        </w:tc>
      </w:tr>
      <w:tr w:rsidR="0086644B" w14:paraId="5BFCD35A" w14:textId="77777777" w:rsidTr="00294718">
        <w:tc>
          <w:tcPr>
            <w:tcW w:w="2438" w:type="dxa"/>
            <w:tcBorders>
              <w:top w:val="single" w:sz="4" w:space="0" w:color="652266" w:themeColor="accent1"/>
              <w:bottom w:val="single" w:sz="4" w:space="0" w:color="652266" w:themeColor="accent1"/>
            </w:tcBorders>
          </w:tcPr>
          <w:p w14:paraId="1ACD6575" w14:textId="764231D1" w:rsidR="0086644B" w:rsidRPr="002474F1" w:rsidRDefault="0086644B" w:rsidP="0086644B">
            <w:r>
              <w:rPr>
                <w:rStyle w:val="Strong"/>
              </w:rPr>
              <w:t>Total Non-Current Liabilities</w:t>
            </w:r>
          </w:p>
        </w:tc>
        <w:tc>
          <w:tcPr>
            <w:tcW w:w="1304" w:type="dxa"/>
            <w:tcBorders>
              <w:top w:val="single" w:sz="4" w:space="0" w:color="652266" w:themeColor="accent1"/>
              <w:bottom w:val="single" w:sz="4" w:space="0" w:color="652266" w:themeColor="accent1"/>
            </w:tcBorders>
            <w:shd w:val="clear" w:color="auto" w:fill="F2E6F1"/>
            <w:vAlign w:val="bottom"/>
          </w:tcPr>
          <w:p w14:paraId="54B9EB55" w14:textId="647E0E1E" w:rsidR="0086644B" w:rsidRPr="002474F1" w:rsidRDefault="0086644B" w:rsidP="0086644B">
            <w:pPr>
              <w:jc w:val="right"/>
            </w:pPr>
            <w:r>
              <w:t>150,011</w:t>
            </w:r>
          </w:p>
        </w:tc>
        <w:tc>
          <w:tcPr>
            <w:tcW w:w="1304" w:type="dxa"/>
            <w:tcBorders>
              <w:top w:val="single" w:sz="4" w:space="0" w:color="652266" w:themeColor="accent1"/>
              <w:bottom w:val="single" w:sz="4" w:space="0" w:color="652266" w:themeColor="accent1"/>
            </w:tcBorders>
            <w:vAlign w:val="bottom"/>
          </w:tcPr>
          <w:p w14:paraId="7B85EDB3" w14:textId="52F08404" w:rsidR="0086644B" w:rsidRPr="002474F1" w:rsidRDefault="0086644B" w:rsidP="0086644B">
            <w:pPr>
              <w:jc w:val="right"/>
            </w:pPr>
            <w:r>
              <w:t>137,701</w:t>
            </w:r>
          </w:p>
        </w:tc>
      </w:tr>
      <w:tr w:rsidR="0086644B" w14:paraId="25D64115" w14:textId="77777777" w:rsidTr="00294718">
        <w:tc>
          <w:tcPr>
            <w:tcW w:w="2438" w:type="dxa"/>
            <w:tcBorders>
              <w:top w:val="single" w:sz="4" w:space="0" w:color="652266" w:themeColor="accent1"/>
              <w:bottom w:val="single" w:sz="12" w:space="0" w:color="652266" w:themeColor="accent1"/>
            </w:tcBorders>
          </w:tcPr>
          <w:p w14:paraId="1471E991" w14:textId="7005759A" w:rsidR="0086644B" w:rsidRPr="002474F1" w:rsidRDefault="0086644B" w:rsidP="0086644B">
            <w:r>
              <w:rPr>
                <w:rStyle w:val="Strong"/>
              </w:rPr>
              <w:t>Total Liabilities</w:t>
            </w:r>
          </w:p>
        </w:tc>
        <w:tc>
          <w:tcPr>
            <w:tcW w:w="1304" w:type="dxa"/>
            <w:tcBorders>
              <w:top w:val="single" w:sz="4" w:space="0" w:color="652266" w:themeColor="accent1"/>
              <w:bottom w:val="single" w:sz="12" w:space="0" w:color="652266" w:themeColor="accent1"/>
            </w:tcBorders>
            <w:shd w:val="clear" w:color="auto" w:fill="F2E6F1"/>
            <w:vAlign w:val="bottom"/>
          </w:tcPr>
          <w:p w14:paraId="711A0E0E" w14:textId="1C7D8138" w:rsidR="0086644B" w:rsidRPr="002474F1" w:rsidRDefault="0086644B" w:rsidP="0086644B">
            <w:pPr>
              <w:jc w:val="right"/>
            </w:pPr>
            <w:r>
              <w:t>1,176,958</w:t>
            </w:r>
          </w:p>
        </w:tc>
        <w:tc>
          <w:tcPr>
            <w:tcW w:w="1304" w:type="dxa"/>
            <w:tcBorders>
              <w:top w:val="single" w:sz="4" w:space="0" w:color="652266" w:themeColor="accent1"/>
              <w:bottom w:val="single" w:sz="12" w:space="0" w:color="652266" w:themeColor="accent1"/>
            </w:tcBorders>
            <w:vAlign w:val="bottom"/>
          </w:tcPr>
          <w:p w14:paraId="0F9A19A3" w14:textId="15D306F4" w:rsidR="0086644B" w:rsidRPr="002474F1" w:rsidRDefault="0086644B" w:rsidP="0086644B">
            <w:pPr>
              <w:jc w:val="right"/>
            </w:pPr>
            <w:r>
              <w:t>1,518,072</w:t>
            </w:r>
          </w:p>
        </w:tc>
      </w:tr>
      <w:tr w:rsidR="0086644B" w14:paraId="40294A21" w14:textId="77777777" w:rsidTr="00294718">
        <w:tc>
          <w:tcPr>
            <w:tcW w:w="2438" w:type="dxa"/>
            <w:tcBorders>
              <w:top w:val="single" w:sz="12" w:space="0" w:color="652266" w:themeColor="accent1"/>
            </w:tcBorders>
          </w:tcPr>
          <w:p w14:paraId="49F03B4A" w14:textId="77777777" w:rsidR="0086644B" w:rsidRPr="002474F1" w:rsidRDefault="0086644B" w:rsidP="002474F1"/>
        </w:tc>
        <w:tc>
          <w:tcPr>
            <w:tcW w:w="1304" w:type="dxa"/>
            <w:tcBorders>
              <w:top w:val="single" w:sz="12" w:space="0" w:color="652266" w:themeColor="accent1"/>
            </w:tcBorders>
            <w:shd w:val="clear" w:color="auto" w:fill="F2E6F1"/>
          </w:tcPr>
          <w:p w14:paraId="201F5FB9" w14:textId="77777777" w:rsidR="0086644B" w:rsidRPr="002474F1" w:rsidRDefault="0086644B" w:rsidP="0086644B">
            <w:pPr>
              <w:jc w:val="right"/>
            </w:pPr>
          </w:p>
        </w:tc>
        <w:tc>
          <w:tcPr>
            <w:tcW w:w="1304" w:type="dxa"/>
            <w:tcBorders>
              <w:top w:val="single" w:sz="12" w:space="0" w:color="652266" w:themeColor="accent1"/>
            </w:tcBorders>
          </w:tcPr>
          <w:p w14:paraId="6EA80DE0" w14:textId="77777777" w:rsidR="0086644B" w:rsidRPr="002474F1" w:rsidRDefault="0086644B" w:rsidP="0086644B">
            <w:pPr>
              <w:jc w:val="right"/>
            </w:pPr>
          </w:p>
        </w:tc>
      </w:tr>
      <w:tr w:rsidR="0086644B" w14:paraId="12108A09" w14:textId="77777777" w:rsidTr="00294718">
        <w:tc>
          <w:tcPr>
            <w:tcW w:w="2438" w:type="dxa"/>
            <w:tcBorders>
              <w:bottom w:val="single" w:sz="12" w:space="0" w:color="652266" w:themeColor="accent1"/>
            </w:tcBorders>
          </w:tcPr>
          <w:p w14:paraId="77130183" w14:textId="1544CB8F" w:rsidR="0086644B" w:rsidRPr="0086644B" w:rsidRDefault="0086644B" w:rsidP="0086644B">
            <w:pPr>
              <w:rPr>
                <w:rStyle w:val="BoldPurple"/>
              </w:rPr>
            </w:pPr>
            <w:r w:rsidRPr="0086644B">
              <w:rPr>
                <w:rStyle w:val="BoldPurple"/>
              </w:rPr>
              <w:t>NET ASSETS</w:t>
            </w:r>
          </w:p>
        </w:tc>
        <w:tc>
          <w:tcPr>
            <w:tcW w:w="1304" w:type="dxa"/>
            <w:tcBorders>
              <w:bottom w:val="single" w:sz="12" w:space="0" w:color="652266" w:themeColor="accent1"/>
            </w:tcBorders>
            <w:shd w:val="clear" w:color="auto" w:fill="F2E6F1"/>
            <w:vAlign w:val="bottom"/>
          </w:tcPr>
          <w:p w14:paraId="2F2DF5F4" w14:textId="78CF9F7E" w:rsidR="0086644B" w:rsidRPr="002474F1" w:rsidRDefault="0086644B" w:rsidP="0086644B">
            <w:pPr>
              <w:jc w:val="right"/>
            </w:pPr>
            <w:r>
              <w:t>1,774,756</w:t>
            </w:r>
          </w:p>
        </w:tc>
        <w:tc>
          <w:tcPr>
            <w:tcW w:w="1304" w:type="dxa"/>
            <w:tcBorders>
              <w:bottom w:val="single" w:sz="12" w:space="0" w:color="652266" w:themeColor="accent1"/>
            </w:tcBorders>
            <w:vAlign w:val="bottom"/>
          </w:tcPr>
          <w:p w14:paraId="114152C2" w14:textId="502691A5" w:rsidR="0086644B" w:rsidRPr="002474F1" w:rsidRDefault="0086644B" w:rsidP="0086644B">
            <w:pPr>
              <w:jc w:val="right"/>
            </w:pPr>
            <w:r>
              <w:t>1,330,261</w:t>
            </w:r>
          </w:p>
        </w:tc>
      </w:tr>
      <w:tr w:rsidR="0086644B" w14:paraId="55E1EB7F" w14:textId="77777777" w:rsidTr="00294718">
        <w:tc>
          <w:tcPr>
            <w:tcW w:w="2438" w:type="dxa"/>
            <w:tcBorders>
              <w:top w:val="single" w:sz="12" w:space="0" w:color="652266" w:themeColor="accent1"/>
            </w:tcBorders>
          </w:tcPr>
          <w:p w14:paraId="56A28AC0" w14:textId="77777777" w:rsidR="0086644B" w:rsidRPr="002474F1" w:rsidRDefault="0086644B" w:rsidP="002474F1"/>
        </w:tc>
        <w:tc>
          <w:tcPr>
            <w:tcW w:w="1304" w:type="dxa"/>
            <w:tcBorders>
              <w:top w:val="single" w:sz="12" w:space="0" w:color="652266" w:themeColor="accent1"/>
            </w:tcBorders>
            <w:shd w:val="clear" w:color="auto" w:fill="F2E6F1"/>
          </w:tcPr>
          <w:p w14:paraId="34B1C44A" w14:textId="77777777" w:rsidR="0086644B" w:rsidRPr="002474F1" w:rsidRDefault="0086644B" w:rsidP="0086644B">
            <w:pPr>
              <w:jc w:val="right"/>
            </w:pPr>
          </w:p>
        </w:tc>
        <w:tc>
          <w:tcPr>
            <w:tcW w:w="1304" w:type="dxa"/>
            <w:tcBorders>
              <w:top w:val="single" w:sz="12" w:space="0" w:color="652266" w:themeColor="accent1"/>
            </w:tcBorders>
          </w:tcPr>
          <w:p w14:paraId="22C40AE0" w14:textId="77777777" w:rsidR="0086644B" w:rsidRPr="002474F1" w:rsidRDefault="0086644B" w:rsidP="0086644B">
            <w:pPr>
              <w:jc w:val="right"/>
            </w:pPr>
          </w:p>
        </w:tc>
      </w:tr>
      <w:tr w:rsidR="00294718" w14:paraId="4AD6866A" w14:textId="77777777" w:rsidTr="00294718">
        <w:tc>
          <w:tcPr>
            <w:tcW w:w="2438" w:type="dxa"/>
          </w:tcPr>
          <w:p w14:paraId="279FFA53" w14:textId="45399820" w:rsidR="002474F1" w:rsidRPr="0086644B" w:rsidRDefault="0086644B" w:rsidP="002474F1">
            <w:pPr>
              <w:rPr>
                <w:rStyle w:val="BoldPurple"/>
              </w:rPr>
            </w:pPr>
            <w:r w:rsidRPr="0086644B">
              <w:rPr>
                <w:rStyle w:val="BoldPurple"/>
              </w:rPr>
              <w:t>EQUITY</w:t>
            </w:r>
          </w:p>
        </w:tc>
        <w:tc>
          <w:tcPr>
            <w:tcW w:w="1304" w:type="dxa"/>
            <w:shd w:val="clear" w:color="auto" w:fill="F2E6F1"/>
            <w:vAlign w:val="bottom"/>
          </w:tcPr>
          <w:p w14:paraId="3F52FFD2" w14:textId="3A927166" w:rsidR="002474F1" w:rsidRPr="002474F1" w:rsidRDefault="002474F1" w:rsidP="0086644B">
            <w:pPr>
              <w:jc w:val="right"/>
            </w:pPr>
          </w:p>
        </w:tc>
        <w:tc>
          <w:tcPr>
            <w:tcW w:w="1304" w:type="dxa"/>
            <w:vAlign w:val="bottom"/>
          </w:tcPr>
          <w:p w14:paraId="6E2CE192" w14:textId="2DD76034" w:rsidR="002474F1" w:rsidRPr="002474F1" w:rsidRDefault="002474F1" w:rsidP="0086644B">
            <w:pPr>
              <w:jc w:val="right"/>
            </w:pPr>
          </w:p>
        </w:tc>
      </w:tr>
      <w:tr w:rsidR="005F5E64" w14:paraId="11773A2E" w14:textId="77777777" w:rsidTr="00294718">
        <w:tc>
          <w:tcPr>
            <w:tcW w:w="2438" w:type="dxa"/>
            <w:tcBorders>
              <w:bottom w:val="single" w:sz="4" w:space="0" w:color="652266" w:themeColor="accent1"/>
            </w:tcBorders>
          </w:tcPr>
          <w:p w14:paraId="22EF6B66" w14:textId="0AD4F965" w:rsidR="0086644B" w:rsidRPr="002474F1" w:rsidRDefault="0086644B" w:rsidP="0086644B">
            <w:r>
              <w:t xml:space="preserve">Retained Earnings </w:t>
            </w:r>
          </w:p>
        </w:tc>
        <w:tc>
          <w:tcPr>
            <w:tcW w:w="1304" w:type="dxa"/>
            <w:tcBorders>
              <w:bottom w:val="single" w:sz="4" w:space="0" w:color="652266" w:themeColor="accent1"/>
            </w:tcBorders>
            <w:shd w:val="clear" w:color="auto" w:fill="F2E6F1"/>
            <w:vAlign w:val="bottom"/>
          </w:tcPr>
          <w:p w14:paraId="55F7E831" w14:textId="277047F2" w:rsidR="0086644B" w:rsidRPr="002474F1" w:rsidRDefault="0086644B" w:rsidP="0086644B">
            <w:pPr>
              <w:jc w:val="right"/>
            </w:pPr>
            <w:r>
              <w:t>1,774,756</w:t>
            </w:r>
          </w:p>
        </w:tc>
        <w:tc>
          <w:tcPr>
            <w:tcW w:w="1304" w:type="dxa"/>
            <w:tcBorders>
              <w:bottom w:val="single" w:sz="4" w:space="0" w:color="652266" w:themeColor="accent1"/>
            </w:tcBorders>
            <w:vAlign w:val="bottom"/>
          </w:tcPr>
          <w:p w14:paraId="22938C39" w14:textId="1984E7DB" w:rsidR="0086644B" w:rsidRPr="002474F1" w:rsidRDefault="0086644B" w:rsidP="0086644B">
            <w:pPr>
              <w:jc w:val="right"/>
            </w:pPr>
            <w:r>
              <w:t>1,330,261</w:t>
            </w:r>
          </w:p>
        </w:tc>
      </w:tr>
      <w:tr w:rsidR="002474F1" w14:paraId="21C0D2A2" w14:textId="77777777" w:rsidTr="00294718">
        <w:tc>
          <w:tcPr>
            <w:tcW w:w="2438" w:type="dxa"/>
            <w:tcBorders>
              <w:top w:val="single" w:sz="4" w:space="0" w:color="652266" w:themeColor="accent1"/>
            </w:tcBorders>
          </w:tcPr>
          <w:p w14:paraId="25FFB787" w14:textId="3420DB2A" w:rsidR="002474F1" w:rsidRPr="002474F1" w:rsidRDefault="002474F1" w:rsidP="002474F1"/>
        </w:tc>
        <w:tc>
          <w:tcPr>
            <w:tcW w:w="1304" w:type="dxa"/>
            <w:tcBorders>
              <w:top w:val="single" w:sz="4" w:space="0" w:color="652266" w:themeColor="accent1"/>
            </w:tcBorders>
            <w:shd w:val="clear" w:color="auto" w:fill="F2E6F1"/>
          </w:tcPr>
          <w:p w14:paraId="5E306E16" w14:textId="49F416F0" w:rsidR="002474F1" w:rsidRPr="002474F1" w:rsidRDefault="002474F1" w:rsidP="0086644B">
            <w:pPr>
              <w:jc w:val="right"/>
            </w:pPr>
          </w:p>
        </w:tc>
        <w:tc>
          <w:tcPr>
            <w:tcW w:w="1304" w:type="dxa"/>
            <w:tcBorders>
              <w:top w:val="single" w:sz="4" w:space="0" w:color="652266" w:themeColor="accent1"/>
            </w:tcBorders>
          </w:tcPr>
          <w:p w14:paraId="02FC3D1A" w14:textId="0A6B1AE9" w:rsidR="002474F1" w:rsidRPr="002474F1" w:rsidRDefault="002474F1" w:rsidP="0086644B">
            <w:pPr>
              <w:jc w:val="right"/>
            </w:pPr>
          </w:p>
        </w:tc>
      </w:tr>
      <w:tr w:rsidR="0086644B" w14:paraId="14C80C0A" w14:textId="77777777" w:rsidTr="00294718">
        <w:tc>
          <w:tcPr>
            <w:tcW w:w="2438" w:type="dxa"/>
            <w:tcBorders>
              <w:bottom w:val="single" w:sz="12" w:space="0" w:color="652266" w:themeColor="accent1"/>
            </w:tcBorders>
          </w:tcPr>
          <w:p w14:paraId="7D5D4F91" w14:textId="7F96B9BB" w:rsidR="0086644B" w:rsidRPr="0086644B" w:rsidRDefault="0086644B" w:rsidP="0086644B">
            <w:pPr>
              <w:rPr>
                <w:rStyle w:val="BoldPurple"/>
              </w:rPr>
            </w:pPr>
            <w:r w:rsidRPr="0086644B">
              <w:rPr>
                <w:rStyle w:val="BoldPurple"/>
              </w:rPr>
              <w:t>TOTAL EQUITY</w:t>
            </w:r>
          </w:p>
        </w:tc>
        <w:tc>
          <w:tcPr>
            <w:tcW w:w="1304" w:type="dxa"/>
            <w:tcBorders>
              <w:bottom w:val="single" w:sz="12" w:space="0" w:color="652266" w:themeColor="accent1"/>
            </w:tcBorders>
            <w:shd w:val="clear" w:color="auto" w:fill="F2E6F1"/>
            <w:vAlign w:val="bottom"/>
          </w:tcPr>
          <w:p w14:paraId="7FC25FCA" w14:textId="7DDBB24D" w:rsidR="0086644B" w:rsidRPr="002474F1" w:rsidRDefault="0086644B" w:rsidP="0086644B">
            <w:pPr>
              <w:jc w:val="right"/>
            </w:pPr>
            <w:r>
              <w:t>1,774,756</w:t>
            </w:r>
          </w:p>
        </w:tc>
        <w:tc>
          <w:tcPr>
            <w:tcW w:w="1304" w:type="dxa"/>
            <w:tcBorders>
              <w:bottom w:val="single" w:sz="12" w:space="0" w:color="652266" w:themeColor="accent1"/>
            </w:tcBorders>
            <w:vAlign w:val="bottom"/>
          </w:tcPr>
          <w:p w14:paraId="5EE1BACC" w14:textId="70541DD8" w:rsidR="0086644B" w:rsidRPr="002474F1" w:rsidRDefault="0086644B" w:rsidP="0086644B">
            <w:pPr>
              <w:jc w:val="right"/>
            </w:pPr>
            <w:r>
              <w:t>1,330,261</w:t>
            </w:r>
          </w:p>
        </w:tc>
      </w:tr>
    </w:tbl>
    <w:p w14:paraId="55915A3D" w14:textId="5B7C08FA" w:rsidR="002474F1" w:rsidRDefault="002474F1" w:rsidP="002474F1">
      <w:pPr>
        <w:rPr>
          <w:rStyle w:val="Strong"/>
        </w:rPr>
      </w:pPr>
    </w:p>
    <w:p w14:paraId="65554F8E" w14:textId="77777777" w:rsidR="00294718" w:rsidRPr="00294718" w:rsidRDefault="00294718" w:rsidP="00294718">
      <w:pPr>
        <w:pStyle w:val="Heading3"/>
      </w:pPr>
      <w:r>
        <w:rPr>
          <w:rStyle w:val="Strong"/>
        </w:rPr>
        <w:br w:type="column"/>
      </w:r>
      <w:r w:rsidRPr="00294718">
        <w:t>Statement of changes in equity</w:t>
      </w:r>
    </w:p>
    <w:p w14:paraId="407147CC" w14:textId="40C6C412" w:rsidR="0086644B" w:rsidRDefault="00294718" w:rsidP="00294718">
      <w:pPr>
        <w:rPr>
          <w:rStyle w:val="Strong"/>
        </w:rPr>
      </w:pPr>
      <w:r w:rsidRPr="00294718">
        <w:rPr>
          <w:rStyle w:val="Strong"/>
        </w:rPr>
        <w:t>for the year ended 30 June 2021</w:t>
      </w:r>
    </w:p>
    <w:p w14:paraId="245CB61D" w14:textId="77777777" w:rsidR="00724066" w:rsidRDefault="00724066" w:rsidP="00294718">
      <w:pPr>
        <w:rPr>
          <w:rStyle w:val="Strong"/>
        </w:rPr>
      </w:pPr>
    </w:p>
    <w:tbl>
      <w:tblPr>
        <w:tblStyle w:val="TableGrid"/>
        <w:tblW w:w="5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38"/>
        <w:gridCol w:w="1304"/>
        <w:gridCol w:w="1304"/>
      </w:tblGrid>
      <w:tr w:rsidR="00294718" w14:paraId="3E05988A" w14:textId="77777777" w:rsidTr="00A24584">
        <w:tc>
          <w:tcPr>
            <w:tcW w:w="2438" w:type="dxa"/>
            <w:tcBorders>
              <w:bottom w:val="single" w:sz="4" w:space="0" w:color="652266" w:themeColor="accent1"/>
            </w:tcBorders>
          </w:tcPr>
          <w:p w14:paraId="19594168" w14:textId="77777777" w:rsidR="00294718" w:rsidRPr="00F43A71" w:rsidRDefault="00294718" w:rsidP="00A24584">
            <w:pPr>
              <w:rPr>
                <w:rStyle w:val="BoldPurple"/>
              </w:rPr>
            </w:pPr>
          </w:p>
        </w:tc>
        <w:tc>
          <w:tcPr>
            <w:tcW w:w="1304" w:type="dxa"/>
            <w:tcBorders>
              <w:bottom w:val="single" w:sz="4" w:space="0" w:color="652266" w:themeColor="accent1"/>
            </w:tcBorders>
            <w:shd w:val="clear" w:color="auto" w:fill="F2E6F1"/>
          </w:tcPr>
          <w:p w14:paraId="102EF1A6" w14:textId="5E83E04D" w:rsidR="00294718" w:rsidRPr="00F43A71" w:rsidRDefault="00150450" w:rsidP="00A24584">
            <w:pPr>
              <w:jc w:val="right"/>
              <w:rPr>
                <w:rStyle w:val="BoldPurple"/>
              </w:rPr>
            </w:pPr>
            <w:r>
              <w:rPr>
                <w:rStyle w:val="BoldPurple"/>
              </w:rPr>
              <w:t>Retained Earnings</w:t>
            </w:r>
          </w:p>
          <w:p w14:paraId="73F92FFD" w14:textId="77777777" w:rsidR="00294718" w:rsidRPr="00F43A71" w:rsidRDefault="00294718" w:rsidP="00A24584">
            <w:pPr>
              <w:jc w:val="right"/>
              <w:rPr>
                <w:rStyle w:val="BoldPurple"/>
              </w:rPr>
            </w:pPr>
            <w:r w:rsidRPr="00F43A71">
              <w:rPr>
                <w:rStyle w:val="BoldPurple"/>
              </w:rPr>
              <w:t>$</w:t>
            </w:r>
          </w:p>
        </w:tc>
        <w:tc>
          <w:tcPr>
            <w:tcW w:w="1304" w:type="dxa"/>
            <w:tcBorders>
              <w:bottom w:val="single" w:sz="4" w:space="0" w:color="652266" w:themeColor="accent1"/>
            </w:tcBorders>
          </w:tcPr>
          <w:p w14:paraId="39B2F013" w14:textId="77777777" w:rsidR="00294718" w:rsidRPr="00F43A71" w:rsidRDefault="00294718" w:rsidP="00A24584">
            <w:pPr>
              <w:jc w:val="right"/>
              <w:rPr>
                <w:rStyle w:val="BoldPurple"/>
              </w:rPr>
            </w:pPr>
            <w:r w:rsidRPr="00F43A71">
              <w:rPr>
                <w:rStyle w:val="BoldPurple"/>
              </w:rPr>
              <w:t>2020</w:t>
            </w:r>
          </w:p>
          <w:p w14:paraId="20B0E9C9" w14:textId="77777777" w:rsidR="00294718" w:rsidRPr="00F43A71" w:rsidRDefault="00294718" w:rsidP="00A24584">
            <w:pPr>
              <w:jc w:val="right"/>
              <w:rPr>
                <w:rStyle w:val="BoldPurple"/>
              </w:rPr>
            </w:pPr>
            <w:r w:rsidRPr="00F43A71">
              <w:rPr>
                <w:rStyle w:val="BoldPurple"/>
              </w:rPr>
              <w:t>$</w:t>
            </w:r>
          </w:p>
        </w:tc>
      </w:tr>
      <w:tr w:rsidR="001B46BC" w14:paraId="71F39F56" w14:textId="77777777" w:rsidTr="001B46BC">
        <w:tc>
          <w:tcPr>
            <w:tcW w:w="2438" w:type="dxa"/>
            <w:tcBorders>
              <w:top w:val="single" w:sz="4" w:space="0" w:color="652266" w:themeColor="accent1"/>
            </w:tcBorders>
          </w:tcPr>
          <w:p w14:paraId="0A9D00AA" w14:textId="77900B96" w:rsidR="001B46BC" w:rsidRPr="001B46BC" w:rsidRDefault="001B46BC" w:rsidP="001B46BC">
            <w:pPr>
              <w:rPr>
                <w:rStyle w:val="Strong"/>
              </w:rPr>
            </w:pPr>
            <w:r w:rsidRPr="001B46BC">
              <w:rPr>
                <w:rStyle w:val="Strong"/>
              </w:rPr>
              <w:t xml:space="preserve">Balance </w:t>
            </w:r>
            <w:proofErr w:type="gramStart"/>
            <w:r w:rsidRPr="001B46BC">
              <w:rPr>
                <w:rStyle w:val="Strong"/>
              </w:rPr>
              <w:t>at</w:t>
            </w:r>
            <w:proofErr w:type="gramEnd"/>
            <w:r w:rsidRPr="001B46BC">
              <w:rPr>
                <w:rStyle w:val="Strong"/>
              </w:rPr>
              <w:t xml:space="preserve"> 1 July 2019</w:t>
            </w:r>
          </w:p>
        </w:tc>
        <w:tc>
          <w:tcPr>
            <w:tcW w:w="1304" w:type="dxa"/>
            <w:tcBorders>
              <w:top w:val="single" w:sz="4" w:space="0" w:color="652266" w:themeColor="accent1"/>
            </w:tcBorders>
            <w:shd w:val="clear" w:color="auto" w:fill="F2E6F1"/>
          </w:tcPr>
          <w:p w14:paraId="442F24C4" w14:textId="78428F35" w:rsidR="001B46BC" w:rsidRDefault="001B46BC" w:rsidP="00A24584">
            <w:pPr>
              <w:jc w:val="right"/>
            </w:pPr>
            <w:r>
              <w:t>1,395,144</w:t>
            </w:r>
          </w:p>
        </w:tc>
        <w:tc>
          <w:tcPr>
            <w:tcW w:w="1304" w:type="dxa"/>
            <w:tcBorders>
              <w:top w:val="single" w:sz="4" w:space="0" w:color="652266" w:themeColor="accent1"/>
            </w:tcBorders>
          </w:tcPr>
          <w:p w14:paraId="5FA25715" w14:textId="62E20674" w:rsidR="001B46BC" w:rsidRDefault="001B46BC" w:rsidP="00A24584">
            <w:pPr>
              <w:jc w:val="right"/>
            </w:pPr>
            <w:r>
              <w:t>1,395,144</w:t>
            </w:r>
          </w:p>
        </w:tc>
      </w:tr>
      <w:tr w:rsidR="001B46BC" w14:paraId="7628803F" w14:textId="77777777" w:rsidTr="001B46BC">
        <w:tc>
          <w:tcPr>
            <w:tcW w:w="2438" w:type="dxa"/>
            <w:tcBorders>
              <w:bottom w:val="single" w:sz="4" w:space="0" w:color="652266" w:themeColor="accent1"/>
            </w:tcBorders>
          </w:tcPr>
          <w:p w14:paraId="5834EF40" w14:textId="5088C4CC" w:rsidR="001B46BC" w:rsidRPr="001B46BC" w:rsidRDefault="001B46BC" w:rsidP="001B46BC">
            <w:r>
              <w:t>Surplus/(Deficit) attributable to members</w:t>
            </w:r>
          </w:p>
        </w:tc>
        <w:tc>
          <w:tcPr>
            <w:tcW w:w="1304" w:type="dxa"/>
            <w:tcBorders>
              <w:bottom w:val="single" w:sz="4" w:space="0" w:color="652266" w:themeColor="accent1"/>
            </w:tcBorders>
            <w:shd w:val="clear" w:color="auto" w:fill="F2E6F1"/>
            <w:vAlign w:val="bottom"/>
          </w:tcPr>
          <w:p w14:paraId="01CB47FD" w14:textId="29F29C94" w:rsidR="001B46BC" w:rsidRDefault="001B46BC" w:rsidP="001B46BC">
            <w:pPr>
              <w:jc w:val="right"/>
            </w:pPr>
            <w:r>
              <w:t>(64,883)</w:t>
            </w:r>
          </w:p>
        </w:tc>
        <w:tc>
          <w:tcPr>
            <w:tcW w:w="1304" w:type="dxa"/>
            <w:tcBorders>
              <w:bottom w:val="single" w:sz="4" w:space="0" w:color="652266" w:themeColor="accent1"/>
            </w:tcBorders>
            <w:vAlign w:val="bottom"/>
          </w:tcPr>
          <w:p w14:paraId="6E95714D" w14:textId="5B6DA4C4" w:rsidR="001B46BC" w:rsidRDefault="001B46BC" w:rsidP="001B46BC">
            <w:pPr>
              <w:jc w:val="right"/>
            </w:pPr>
            <w:r>
              <w:t>(64,883)</w:t>
            </w:r>
          </w:p>
        </w:tc>
      </w:tr>
      <w:tr w:rsidR="001B46BC" w14:paraId="16F3FED1" w14:textId="77777777" w:rsidTr="001B46BC">
        <w:tc>
          <w:tcPr>
            <w:tcW w:w="2438" w:type="dxa"/>
            <w:tcBorders>
              <w:top w:val="single" w:sz="4" w:space="0" w:color="652266" w:themeColor="accent1"/>
            </w:tcBorders>
            <w:vAlign w:val="center"/>
          </w:tcPr>
          <w:p w14:paraId="0ACCE99A" w14:textId="59BF1A38" w:rsidR="001B46BC" w:rsidRPr="002474F1" w:rsidRDefault="001B46BC" w:rsidP="001B46BC">
            <w:r>
              <w:rPr>
                <w:rStyle w:val="Strong"/>
              </w:rPr>
              <w:t xml:space="preserve">Balance </w:t>
            </w:r>
            <w:proofErr w:type="gramStart"/>
            <w:r>
              <w:rPr>
                <w:rStyle w:val="Strong"/>
              </w:rPr>
              <w:t>at</w:t>
            </w:r>
            <w:proofErr w:type="gramEnd"/>
            <w:r>
              <w:rPr>
                <w:rStyle w:val="Strong"/>
              </w:rPr>
              <w:t xml:space="preserve"> 30 June 2020</w:t>
            </w:r>
          </w:p>
        </w:tc>
        <w:tc>
          <w:tcPr>
            <w:tcW w:w="1304" w:type="dxa"/>
            <w:tcBorders>
              <w:top w:val="single" w:sz="4" w:space="0" w:color="652266" w:themeColor="accent1"/>
            </w:tcBorders>
            <w:shd w:val="clear" w:color="auto" w:fill="F2E6F1"/>
            <w:vAlign w:val="center"/>
          </w:tcPr>
          <w:p w14:paraId="722A5E08" w14:textId="10A0BA2F" w:rsidR="001B46BC" w:rsidRPr="002474F1" w:rsidRDefault="001B46BC" w:rsidP="001B46BC">
            <w:pPr>
              <w:jc w:val="right"/>
            </w:pPr>
            <w:r>
              <w:t>1,330,261</w:t>
            </w:r>
          </w:p>
        </w:tc>
        <w:tc>
          <w:tcPr>
            <w:tcW w:w="1304" w:type="dxa"/>
            <w:tcBorders>
              <w:top w:val="single" w:sz="4" w:space="0" w:color="652266" w:themeColor="accent1"/>
            </w:tcBorders>
            <w:vAlign w:val="center"/>
          </w:tcPr>
          <w:p w14:paraId="5E6655BC" w14:textId="5CF1E3CC" w:rsidR="001B46BC" w:rsidRPr="002474F1" w:rsidRDefault="001B46BC" w:rsidP="001B46BC">
            <w:pPr>
              <w:jc w:val="right"/>
            </w:pPr>
            <w:r>
              <w:t>1,330,261</w:t>
            </w:r>
          </w:p>
        </w:tc>
      </w:tr>
      <w:tr w:rsidR="005F5E64" w14:paraId="6BDCEFDF" w14:textId="77777777" w:rsidTr="001B46BC">
        <w:tc>
          <w:tcPr>
            <w:tcW w:w="2438" w:type="dxa"/>
            <w:tcBorders>
              <w:bottom w:val="single" w:sz="4" w:space="0" w:color="652266" w:themeColor="accent1"/>
            </w:tcBorders>
          </w:tcPr>
          <w:p w14:paraId="29835285" w14:textId="5B9CD066" w:rsidR="001B46BC" w:rsidRPr="002474F1" w:rsidRDefault="001B46BC" w:rsidP="001B46BC">
            <w:r>
              <w:t>Surplus/(Deficit) attributable to members</w:t>
            </w:r>
          </w:p>
        </w:tc>
        <w:tc>
          <w:tcPr>
            <w:tcW w:w="1304" w:type="dxa"/>
            <w:tcBorders>
              <w:bottom w:val="single" w:sz="4" w:space="0" w:color="652266" w:themeColor="accent1"/>
            </w:tcBorders>
            <w:shd w:val="clear" w:color="auto" w:fill="F2E6F1"/>
          </w:tcPr>
          <w:p w14:paraId="2E0193CE" w14:textId="05848878" w:rsidR="001B46BC" w:rsidRPr="002474F1" w:rsidRDefault="001B46BC" w:rsidP="001B46BC">
            <w:pPr>
              <w:jc w:val="right"/>
            </w:pPr>
            <w:r>
              <w:t>444,494</w:t>
            </w:r>
          </w:p>
        </w:tc>
        <w:tc>
          <w:tcPr>
            <w:tcW w:w="1304" w:type="dxa"/>
            <w:tcBorders>
              <w:bottom w:val="single" w:sz="4" w:space="0" w:color="652266" w:themeColor="accent1"/>
            </w:tcBorders>
          </w:tcPr>
          <w:p w14:paraId="0D90175C" w14:textId="2A9448F8" w:rsidR="001B46BC" w:rsidRPr="002474F1" w:rsidRDefault="001B46BC" w:rsidP="001B46BC">
            <w:pPr>
              <w:jc w:val="right"/>
            </w:pPr>
            <w:r>
              <w:t>444,494</w:t>
            </w:r>
          </w:p>
        </w:tc>
      </w:tr>
      <w:tr w:rsidR="005F5E64" w14:paraId="4DE67522" w14:textId="77777777" w:rsidTr="001B46BC">
        <w:tc>
          <w:tcPr>
            <w:tcW w:w="2438" w:type="dxa"/>
            <w:tcBorders>
              <w:top w:val="single" w:sz="4" w:space="0" w:color="652266" w:themeColor="accent1"/>
              <w:bottom w:val="single" w:sz="12" w:space="0" w:color="652266" w:themeColor="accent1"/>
            </w:tcBorders>
            <w:vAlign w:val="center"/>
          </w:tcPr>
          <w:p w14:paraId="6275B0DB" w14:textId="0593A1D5" w:rsidR="001B46BC" w:rsidRPr="0086644B" w:rsidRDefault="001B46BC" w:rsidP="001B46BC">
            <w:pPr>
              <w:rPr>
                <w:rStyle w:val="BoldPurple"/>
              </w:rPr>
            </w:pPr>
            <w:r>
              <w:rPr>
                <w:rStyle w:val="Strong"/>
              </w:rPr>
              <w:t xml:space="preserve">Balance </w:t>
            </w:r>
            <w:proofErr w:type="gramStart"/>
            <w:r>
              <w:rPr>
                <w:rStyle w:val="Strong"/>
              </w:rPr>
              <w:t>at</w:t>
            </w:r>
            <w:proofErr w:type="gramEnd"/>
            <w:r>
              <w:rPr>
                <w:rStyle w:val="Strong"/>
              </w:rPr>
              <w:t xml:space="preserve"> 30 June 2021</w:t>
            </w:r>
          </w:p>
        </w:tc>
        <w:tc>
          <w:tcPr>
            <w:tcW w:w="1304" w:type="dxa"/>
            <w:tcBorders>
              <w:top w:val="single" w:sz="4" w:space="0" w:color="652266" w:themeColor="accent1"/>
              <w:bottom w:val="single" w:sz="12" w:space="0" w:color="652266" w:themeColor="accent1"/>
            </w:tcBorders>
            <w:shd w:val="clear" w:color="auto" w:fill="F2E6F1"/>
            <w:vAlign w:val="center"/>
          </w:tcPr>
          <w:p w14:paraId="580EBA1E" w14:textId="16B77C94" w:rsidR="001B46BC" w:rsidRPr="002474F1" w:rsidRDefault="001B46BC" w:rsidP="001B46BC">
            <w:pPr>
              <w:jc w:val="right"/>
            </w:pPr>
            <w:r>
              <w:t>1,774,755</w:t>
            </w:r>
          </w:p>
        </w:tc>
        <w:tc>
          <w:tcPr>
            <w:tcW w:w="1304" w:type="dxa"/>
            <w:tcBorders>
              <w:top w:val="single" w:sz="4" w:space="0" w:color="652266" w:themeColor="accent1"/>
              <w:bottom w:val="single" w:sz="12" w:space="0" w:color="652266" w:themeColor="accent1"/>
            </w:tcBorders>
            <w:vAlign w:val="center"/>
          </w:tcPr>
          <w:p w14:paraId="4806F4B4" w14:textId="781CCEA7" w:rsidR="001B46BC" w:rsidRPr="002474F1" w:rsidRDefault="001B46BC" w:rsidP="001B46BC">
            <w:pPr>
              <w:jc w:val="right"/>
            </w:pPr>
            <w:r>
              <w:t>1,774,755</w:t>
            </w:r>
          </w:p>
        </w:tc>
      </w:tr>
    </w:tbl>
    <w:p w14:paraId="22D0BC12" w14:textId="5B5D5487" w:rsidR="00294718" w:rsidRDefault="00294718" w:rsidP="00294718"/>
    <w:p w14:paraId="3316327E" w14:textId="59810966" w:rsidR="00646A00" w:rsidRPr="00294718" w:rsidRDefault="00646A00" w:rsidP="00646A00">
      <w:pPr>
        <w:pStyle w:val="Heading3"/>
      </w:pPr>
      <w:r>
        <w:t>Cash flow statement</w:t>
      </w:r>
    </w:p>
    <w:p w14:paraId="759BDB45" w14:textId="77777777" w:rsidR="00646A00" w:rsidRDefault="00646A00" w:rsidP="00646A00">
      <w:pPr>
        <w:rPr>
          <w:rStyle w:val="Strong"/>
        </w:rPr>
      </w:pPr>
      <w:r w:rsidRPr="00294718">
        <w:rPr>
          <w:rStyle w:val="Strong"/>
        </w:rPr>
        <w:t>for the year ended 30 June 2021</w:t>
      </w:r>
    </w:p>
    <w:p w14:paraId="7737DB8D" w14:textId="77777777" w:rsidR="00646A00" w:rsidRDefault="00646A00" w:rsidP="00646A00">
      <w:pPr>
        <w:rPr>
          <w:rStyle w:val="Strong"/>
        </w:rPr>
      </w:pPr>
    </w:p>
    <w:tbl>
      <w:tblPr>
        <w:tblStyle w:val="TableGrid"/>
        <w:tblW w:w="5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38"/>
        <w:gridCol w:w="1304"/>
        <w:gridCol w:w="1304"/>
      </w:tblGrid>
      <w:tr w:rsidR="00646A00" w14:paraId="1F431645" w14:textId="77777777" w:rsidTr="00A24584">
        <w:tc>
          <w:tcPr>
            <w:tcW w:w="2438" w:type="dxa"/>
            <w:tcBorders>
              <w:bottom w:val="single" w:sz="4" w:space="0" w:color="652266" w:themeColor="accent1"/>
            </w:tcBorders>
          </w:tcPr>
          <w:p w14:paraId="34EEA93C" w14:textId="77777777" w:rsidR="00646A00" w:rsidRPr="00F43A71" w:rsidRDefault="00646A00" w:rsidP="00A24584">
            <w:pPr>
              <w:rPr>
                <w:rStyle w:val="BoldPurple"/>
              </w:rPr>
            </w:pPr>
            <w:bookmarkStart w:id="0" w:name="Title"/>
            <w:bookmarkEnd w:id="0"/>
          </w:p>
        </w:tc>
        <w:tc>
          <w:tcPr>
            <w:tcW w:w="1304" w:type="dxa"/>
            <w:tcBorders>
              <w:bottom w:val="single" w:sz="4" w:space="0" w:color="652266" w:themeColor="accent1"/>
            </w:tcBorders>
            <w:shd w:val="clear" w:color="auto" w:fill="F2E6F1"/>
          </w:tcPr>
          <w:p w14:paraId="42DF23C3" w14:textId="242AB9CF" w:rsidR="00646A00" w:rsidRPr="00F43A71" w:rsidRDefault="00646A00" w:rsidP="00A24584">
            <w:pPr>
              <w:jc w:val="right"/>
              <w:rPr>
                <w:rStyle w:val="BoldPurple"/>
              </w:rPr>
            </w:pPr>
            <w:r>
              <w:rPr>
                <w:rStyle w:val="BoldPurple"/>
              </w:rPr>
              <w:t>2021</w:t>
            </w:r>
          </w:p>
          <w:p w14:paraId="056BB5D4" w14:textId="77777777" w:rsidR="00646A00" w:rsidRPr="00F43A71" w:rsidRDefault="00646A00" w:rsidP="00A24584">
            <w:pPr>
              <w:jc w:val="right"/>
              <w:rPr>
                <w:rStyle w:val="BoldPurple"/>
              </w:rPr>
            </w:pPr>
            <w:r w:rsidRPr="00F43A71">
              <w:rPr>
                <w:rStyle w:val="BoldPurple"/>
              </w:rPr>
              <w:t>$</w:t>
            </w:r>
          </w:p>
        </w:tc>
        <w:tc>
          <w:tcPr>
            <w:tcW w:w="1304" w:type="dxa"/>
            <w:tcBorders>
              <w:bottom w:val="single" w:sz="4" w:space="0" w:color="652266" w:themeColor="accent1"/>
            </w:tcBorders>
          </w:tcPr>
          <w:p w14:paraId="102B2C28" w14:textId="77777777" w:rsidR="00646A00" w:rsidRPr="00F43A71" w:rsidRDefault="00646A00" w:rsidP="00A24584">
            <w:pPr>
              <w:jc w:val="right"/>
              <w:rPr>
                <w:rStyle w:val="BoldPurple"/>
              </w:rPr>
            </w:pPr>
            <w:r w:rsidRPr="00F43A71">
              <w:rPr>
                <w:rStyle w:val="BoldPurple"/>
              </w:rPr>
              <w:t>2020</w:t>
            </w:r>
          </w:p>
          <w:p w14:paraId="6349BF77" w14:textId="77777777" w:rsidR="00646A00" w:rsidRPr="00F43A71" w:rsidRDefault="00646A00" w:rsidP="00A24584">
            <w:pPr>
              <w:jc w:val="right"/>
              <w:rPr>
                <w:rStyle w:val="BoldPurple"/>
              </w:rPr>
            </w:pPr>
            <w:r w:rsidRPr="00F43A71">
              <w:rPr>
                <w:rStyle w:val="BoldPurple"/>
              </w:rPr>
              <w:t>$</w:t>
            </w:r>
          </w:p>
        </w:tc>
      </w:tr>
      <w:tr w:rsidR="005F5E64" w14:paraId="10CD49EE" w14:textId="77777777" w:rsidTr="00646A00">
        <w:tc>
          <w:tcPr>
            <w:tcW w:w="2438" w:type="dxa"/>
            <w:tcBorders>
              <w:top w:val="single" w:sz="4" w:space="0" w:color="652266" w:themeColor="accent1"/>
            </w:tcBorders>
          </w:tcPr>
          <w:p w14:paraId="6BBA06F7" w14:textId="5CA5A2F6" w:rsidR="00646A00" w:rsidRPr="00646A00" w:rsidRDefault="00646A00" w:rsidP="00A24584">
            <w:pPr>
              <w:rPr>
                <w:rStyle w:val="BoldPurple"/>
              </w:rPr>
            </w:pPr>
            <w:r w:rsidRPr="00646A00">
              <w:rPr>
                <w:rStyle w:val="BoldPurple"/>
              </w:rPr>
              <w:t>CASH FLOWS FROM OPERATING ACTIVITIES</w:t>
            </w:r>
          </w:p>
        </w:tc>
        <w:tc>
          <w:tcPr>
            <w:tcW w:w="1304" w:type="dxa"/>
            <w:tcBorders>
              <w:top w:val="single" w:sz="4" w:space="0" w:color="652266" w:themeColor="accent1"/>
            </w:tcBorders>
            <w:shd w:val="clear" w:color="auto" w:fill="F2E6F1"/>
          </w:tcPr>
          <w:p w14:paraId="5AAA30E2" w14:textId="77777777" w:rsidR="00646A00" w:rsidRDefault="00646A00" w:rsidP="00A24584">
            <w:pPr>
              <w:jc w:val="right"/>
            </w:pPr>
            <w:r>
              <w:t>1,395,144</w:t>
            </w:r>
          </w:p>
        </w:tc>
        <w:tc>
          <w:tcPr>
            <w:tcW w:w="1304" w:type="dxa"/>
            <w:tcBorders>
              <w:top w:val="single" w:sz="4" w:space="0" w:color="652266" w:themeColor="accent1"/>
            </w:tcBorders>
          </w:tcPr>
          <w:p w14:paraId="4E223162" w14:textId="77777777" w:rsidR="00646A00" w:rsidRDefault="00646A00" w:rsidP="00A24584">
            <w:pPr>
              <w:jc w:val="right"/>
            </w:pPr>
            <w:r>
              <w:t>1,395,144</w:t>
            </w:r>
          </w:p>
        </w:tc>
      </w:tr>
      <w:tr w:rsidR="00646A00" w14:paraId="4172D954" w14:textId="77777777" w:rsidTr="00A24584">
        <w:tc>
          <w:tcPr>
            <w:tcW w:w="2438" w:type="dxa"/>
          </w:tcPr>
          <w:p w14:paraId="2E99F452" w14:textId="7EAAA76C" w:rsidR="00646A00" w:rsidRPr="001B46BC" w:rsidRDefault="00646A00" w:rsidP="00646A00">
            <w:r>
              <w:t>Receipts from customers</w:t>
            </w:r>
          </w:p>
        </w:tc>
        <w:tc>
          <w:tcPr>
            <w:tcW w:w="1304" w:type="dxa"/>
            <w:shd w:val="clear" w:color="auto" w:fill="F2E6F1"/>
          </w:tcPr>
          <w:p w14:paraId="633EC4DB" w14:textId="55CB777C" w:rsidR="00646A00" w:rsidRDefault="00646A00" w:rsidP="00646A00">
            <w:pPr>
              <w:jc w:val="right"/>
            </w:pPr>
            <w:r>
              <w:t>2,488,092</w:t>
            </w:r>
          </w:p>
        </w:tc>
        <w:tc>
          <w:tcPr>
            <w:tcW w:w="1304" w:type="dxa"/>
          </w:tcPr>
          <w:p w14:paraId="7A12E1F1" w14:textId="7B360A65" w:rsidR="00646A00" w:rsidRDefault="00646A00" w:rsidP="00646A00">
            <w:pPr>
              <w:jc w:val="right"/>
            </w:pPr>
            <w:r>
              <w:t>1,788,899</w:t>
            </w:r>
          </w:p>
        </w:tc>
      </w:tr>
      <w:tr w:rsidR="00646A00" w14:paraId="6D8A4DD5" w14:textId="77777777" w:rsidTr="00A24584">
        <w:tc>
          <w:tcPr>
            <w:tcW w:w="2438" w:type="dxa"/>
            <w:vAlign w:val="center"/>
          </w:tcPr>
          <w:p w14:paraId="57AC835E" w14:textId="6339B801" w:rsidR="00646A00" w:rsidRDefault="00646A00" w:rsidP="00646A00">
            <w:r>
              <w:t>Payments to suppliers and employees</w:t>
            </w:r>
          </w:p>
        </w:tc>
        <w:tc>
          <w:tcPr>
            <w:tcW w:w="1304" w:type="dxa"/>
            <w:shd w:val="clear" w:color="auto" w:fill="F2E6F1"/>
            <w:vAlign w:val="center"/>
          </w:tcPr>
          <w:p w14:paraId="10388FAF" w14:textId="3854ED2F" w:rsidR="00646A00" w:rsidRDefault="00646A00" w:rsidP="00646A00">
            <w:pPr>
              <w:jc w:val="right"/>
            </w:pPr>
            <w:r>
              <w:t>(2,362,478)</w:t>
            </w:r>
          </w:p>
        </w:tc>
        <w:tc>
          <w:tcPr>
            <w:tcW w:w="1304" w:type="dxa"/>
            <w:vAlign w:val="center"/>
          </w:tcPr>
          <w:p w14:paraId="64ECDA94" w14:textId="2D1BF05A" w:rsidR="00646A00" w:rsidRDefault="00646A00" w:rsidP="00646A00">
            <w:pPr>
              <w:jc w:val="right"/>
            </w:pPr>
            <w:r>
              <w:t>(1,248,144)</w:t>
            </w:r>
          </w:p>
        </w:tc>
      </w:tr>
      <w:tr w:rsidR="00646A00" w14:paraId="4FB6F4BA" w14:textId="77777777" w:rsidTr="00646A00">
        <w:tc>
          <w:tcPr>
            <w:tcW w:w="2438" w:type="dxa"/>
          </w:tcPr>
          <w:p w14:paraId="31E0B8BE" w14:textId="23E08317" w:rsidR="00646A00" w:rsidRDefault="00646A00" w:rsidP="00646A00">
            <w:r>
              <w:t>Interest received</w:t>
            </w:r>
          </w:p>
        </w:tc>
        <w:tc>
          <w:tcPr>
            <w:tcW w:w="1304" w:type="dxa"/>
            <w:shd w:val="clear" w:color="auto" w:fill="F2E6F1"/>
          </w:tcPr>
          <w:p w14:paraId="151C1822" w14:textId="7711CD63" w:rsidR="00646A00" w:rsidRDefault="00646A00" w:rsidP="00646A00">
            <w:pPr>
              <w:jc w:val="right"/>
            </w:pPr>
            <w:r>
              <w:t>11,367</w:t>
            </w:r>
          </w:p>
        </w:tc>
        <w:tc>
          <w:tcPr>
            <w:tcW w:w="1304" w:type="dxa"/>
          </w:tcPr>
          <w:p w14:paraId="71D69249" w14:textId="01014C79" w:rsidR="00646A00" w:rsidRDefault="00646A00" w:rsidP="00646A00">
            <w:pPr>
              <w:jc w:val="right"/>
            </w:pPr>
            <w:r>
              <w:t>26,947</w:t>
            </w:r>
          </w:p>
        </w:tc>
      </w:tr>
      <w:tr w:rsidR="00646A00" w14:paraId="5F008BE3" w14:textId="77777777" w:rsidTr="00646A00">
        <w:tc>
          <w:tcPr>
            <w:tcW w:w="2438" w:type="dxa"/>
            <w:tcBorders>
              <w:bottom w:val="single" w:sz="4" w:space="0" w:color="652266" w:themeColor="accent1"/>
            </w:tcBorders>
          </w:tcPr>
          <w:p w14:paraId="5040716A" w14:textId="0221AF78" w:rsidR="00646A00" w:rsidRDefault="00646A00" w:rsidP="00646A00">
            <w:r>
              <w:rPr>
                <w:rStyle w:val="Strong"/>
              </w:rPr>
              <w:t>Net cash provided by (used in) operating activities</w:t>
            </w:r>
          </w:p>
        </w:tc>
        <w:tc>
          <w:tcPr>
            <w:tcW w:w="1304" w:type="dxa"/>
            <w:tcBorders>
              <w:bottom w:val="single" w:sz="4" w:space="0" w:color="652266" w:themeColor="accent1"/>
            </w:tcBorders>
            <w:shd w:val="clear" w:color="auto" w:fill="F2E6F1"/>
            <w:vAlign w:val="bottom"/>
          </w:tcPr>
          <w:p w14:paraId="534BDD21" w14:textId="61553C99" w:rsidR="00646A00" w:rsidRDefault="00646A00" w:rsidP="00646A00">
            <w:pPr>
              <w:jc w:val="right"/>
            </w:pPr>
            <w:r>
              <w:t>136,981</w:t>
            </w:r>
          </w:p>
        </w:tc>
        <w:tc>
          <w:tcPr>
            <w:tcW w:w="1304" w:type="dxa"/>
            <w:tcBorders>
              <w:bottom w:val="single" w:sz="4" w:space="0" w:color="652266" w:themeColor="accent1"/>
            </w:tcBorders>
            <w:vAlign w:val="bottom"/>
          </w:tcPr>
          <w:p w14:paraId="206F0ADD" w14:textId="1E02A7A8" w:rsidR="00646A00" w:rsidRDefault="00646A00" w:rsidP="00646A00">
            <w:pPr>
              <w:jc w:val="right"/>
            </w:pPr>
            <w:r>
              <w:t>567,702</w:t>
            </w:r>
          </w:p>
        </w:tc>
      </w:tr>
      <w:tr w:rsidR="00646A00" w14:paraId="17D250FF" w14:textId="77777777" w:rsidTr="00646A00">
        <w:tc>
          <w:tcPr>
            <w:tcW w:w="2438" w:type="dxa"/>
            <w:tcBorders>
              <w:top w:val="single" w:sz="4" w:space="0" w:color="652266" w:themeColor="accent1"/>
            </w:tcBorders>
            <w:vAlign w:val="center"/>
          </w:tcPr>
          <w:p w14:paraId="6E08523D" w14:textId="3A580FE4" w:rsidR="00646A00" w:rsidRPr="002474F1" w:rsidRDefault="00646A00" w:rsidP="00A24584"/>
        </w:tc>
        <w:tc>
          <w:tcPr>
            <w:tcW w:w="1304" w:type="dxa"/>
            <w:tcBorders>
              <w:top w:val="single" w:sz="4" w:space="0" w:color="652266" w:themeColor="accent1"/>
            </w:tcBorders>
            <w:shd w:val="clear" w:color="auto" w:fill="F2E6F1"/>
            <w:vAlign w:val="center"/>
          </w:tcPr>
          <w:p w14:paraId="5047EF7C" w14:textId="37FB2F73" w:rsidR="00646A00" w:rsidRPr="002474F1" w:rsidRDefault="00646A00" w:rsidP="00A24584">
            <w:pPr>
              <w:jc w:val="right"/>
            </w:pPr>
          </w:p>
        </w:tc>
        <w:tc>
          <w:tcPr>
            <w:tcW w:w="1304" w:type="dxa"/>
            <w:tcBorders>
              <w:top w:val="single" w:sz="4" w:space="0" w:color="652266" w:themeColor="accent1"/>
            </w:tcBorders>
            <w:vAlign w:val="center"/>
          </w:tcPr>
          <w:p w14:paraId="72BB55AA" w14:textId="66E69BFD" w:rsidR="00646A00" w:rsidRPr="002474F1" w:rsidRDefault="00646A00" w:rsidP="00A24584">
            <w:pPr>
              <w:jc w:val="right"/>
            </w:pPr>
          </w:p>
        </w:tc>
      </w:tr>
      <w:tr w:rsidR="00646A00" w14:paraId="3F88F4E8" w14:textId="77777777" w:rsidTr="00A24584">
        <w:tc>
          <w:tcPr>
            <w:tcW w:w="2438" w:type="dxa"/>
          </w:tcPr>
          <w:p w14:paraId="275E660A" w14:textId="02693B5B" w:rsidR="00646A00" w:rsidRPr="002474F1" w:rsidRDefault="00646A00" w:rsidP="00646A00">
            <w:r>
              <w:t>Net increase in cash held</w:t>
            </w:r>
          </w:p>
        </w:tc>
        <w:tc>
          <w:tcPr>
            <w:tcW w:w="1304" w:type="dxa"/>
            <w:shd w:val="clear" w:color="auto" w:fill="F2E6F1"/>
          </w:tcPr>
          <w:p w14:paraId="6B7D6572" w14:textId="1A16CBAE" w:rsidR="00646A00" w:rsidRPr="002474F1" w:rsidRDefault="00646A00" w:rsidP="00646A00">
            <w:pPr>
              <w:jc w:val="right"/>
            </w:pPr>
            <w:r>
              <w:t>136,981</w:t>
            </w:r>
          </w:p>
        </w:tc>
        <w:tc>
          <w:tcPr>
            <w:tcW w:w="1304" w:type="dxa"/>
          </w:tcPr>
          <w:p w14:paraId="44A9C21F" w14:textId="77909FD6" w:rsidR="00646A00" w:rsidRPr="002474F1" w:rsidRDefault="00646A00" w:rsidP="00646A00">
            <w:pPr>
              <w:jc w:val="right"/>
            </w:pPr>
            <w:r>
              <w:t>567,702</w:t>
            </w:r>
          </w:p>
        </w:tc>
      </w:tr>
      <w:tr w:rsidR="005F5E64" w14:paraId="3478079B" w14:textId="77777777" w:rsidTr="00A24584">
        <w:tc>
          <w:tcPr>
            <w:tcW w:w="2438" w:type="dxa"/>
            <w:tcBorders>
              <w:bottom w:val="single" w:sz="4" w:space="0" w:color="652266" w:themeColor="accent1"/>
            </w:tcBorders>
          </w:tcPr>
          <w:p w14:paraId="7A7A1263" w14:textId="0250CC7B" w:rsidR="00646A00" w:rsidRPr="002474F1" w:rsidRDefault="00646A00" w:rsidP="00646A00">
            <w:r>
              <w:t>Cash at beginning of financial year</w:t>
            </w:r>
          </w:p>
        </w:tc>
        <w:tc>
          <w:tcPr>
            <w:tcW w:w="1304" w:type="dxa"/>
            <w:tcBorders>
              <w:bottom w:val="single" w:sz="4" w:space="0" w:color="652266" w:themeColor="accent1"/>
            </w:tcBorders>
            <w:shd w:val="clear" w:color="auto" w:fill="F2E6F1"/>
          </w:tcPr>
          <w:p w14:paraId="3820524E" w14:textId="70C14859" w:rsidR="00646A00" w:rsidRPr="002474F1" w:rsidRDefault="00646A00" w:rsidP="00646A00">
            <w:pPr>
              <w:jc w:val="right"/>
            </w:pPr>
            <w:r>
              <w:t>2,762,058</w:t>
            </w:r>
          </w:p>
        </w:tc>
        <w:tc>
          <w:tcPr>
            <w:tcW w:w="1304" w:type="dxa"/>
            <w:tcBorders>
              <w:bottom w:val="single" w:sz="4" w:space="0" w:color="652266" w:themeColor="accent1"/>
            </w:tcBorders>
          </w:tcPr>
          <w:p w14:paraId="4B025B5E" w14:textId="42016AFB" w:rsidR="00646A00" w:rsidRPr="002474F1" w:rsidRDefault="00646A00" w:rsidP="00646A00">
            <w:pPr>
              <w:jc w:val="right"/>
            </w:pPr>
            <w:r>
              <w:t>2,194,356</w:t>
            </w:r>
          </w:p>
        </w:tc>
      </w:tr>
      <w:tr w:rsidR="005F5E64" w14:paraId="4E4405AF" w14:textId="77777777" w:rsidTr="00A24584">
        <w:tc>
          <w:tcPr>
            <w:tcW w:w="2438" w:type="dxa"/>
            <w:tcBorders>
              <w:top w:val="single" w:sz="4" w:space="0" w:color="652266" w:themeColor="accent1"/>
              <w:bottom w:val="single" w:sz="12" w:space="0" w:color="652266" w:themeColor="accent1"/>
            </w:tcBorders>
            <w:vAlign w:val="center"/>
          </w:tcPr>
          <w:p w14:paraId="7BC892B5" w14:textId="12E14B79" w:rsidR="00646A00" w:rsidRPr="0086644B" w:rsidRDefault="00646A00" w:rsidP="00646A00">
            <w:pPr>
              <w:rPr>
                <w:rStyle w:val="BoldPurple"/>
              </w:rPr>
            </w:pPr>
            <w:r>
              <w:rPr>
                <w:rStyle w:val="Strong"/>
              </w:rPr>
              <w:t>Cash at end of financial year</w:t>
            </w:r>
          </w:p>
        </w:tc>
        <w:tc>
          <w:tcPr>
            <w:tcW w:w="1304" w:type="dxa"/>
            <w:tcBorders>
              <w:top w:val="single" w:sz="4" w:space="0" w:color="652266" w:themeColor="accent1"/>
              <w:bottom w:val="single" w:sz="12" w:space="0" w:color="652266" w:themeColor="accent1"/>
            </w:tcBorders>
            <w:shd w:val="clear" w:color="auto" w:fill="F2E6F1"/>
            <w:vAlign w:val="center"/>
          </w:tcPr>
          <w:p w14:paraId="58B11BF2" w14:textId="26D5651E" w:rsidR="00646A00" w:rsidRPr="002474F1" w:rsidRDefault="00646A00" w:rsidP="00646A00">
            <w:pPr>
              <w:jc w:val="right"/>
            </w:pPr>
            <w:r>
              <w:t>2,899,039</w:t>
            </w:r>
          </w:p>
        </w:tc>
        <w:tc>
          <w:tcPr>
            <w:tcW w:w="1304" w:type="dxa"/>
            <w:tcBorders>
              <w:top w:val="single" w:sz="4" w:space="0" w:color="652266" w:themeColor="accent1"/>
              <w:bottom w:val="single" w:sz="12" w:space="0" w:color="652266" w:themeColor="accent1"/>
            </w:tcBorders>
            <w:vAlign w:val="center"/>
          </w:tcPr>
          <w:p w14:paraId="1D89E5DD" w14:textId="63A4175F" w:rsidR="00646A00" w:rsidRPr="002474F1" w:rsidRDefault="00646A00" w:rsidP="00646A00">
            <w:pPr>
              <w:jc w:val="right"/>
            </w:pPr>
            <w:r>
              <w:t>2,762,058</w:t>
            </w:r>
          </w:p>
        </w:tc>
      </w:tr>
    </w:tbl>
    <w:p w14:paraId="229ADF78" w14:textId="77777777" w:rsidR="00646A00" w:rsidRPr="00294718" w:rsidRDefault="00646A00" w:rsidP="00646A00"/>
    <w:p w14:paraId="7180CC21" w14:textId="77777777" w:rsidR="00646A00" w:rsidRDefault="00646A00" w:rsidP="00294718">
      <w:pPr>
        <w:sectPr w:rsidR="00646A00" w:rsidSect="00724066">
          <w:pgSz w:w="11906" w:h="16838" w:code="9"/>
          <w:pgMar w:top="992" w:right="851" w:bottom="992" w:left="851" w:header="567" w:footer="567" w:gutter="0"/>
          <w:cols w:num="2" w:space="284" w:equalWidth="0">
            <w:col w:w="4990" w:space="284"/>
            <w:col w:w="4930"/>
          </w:cols>
          <w:docGrid w:linePitch="360"/>
        </w:sectPr>
      </w:pPr>
    </w:p>
    <w:p w14:paraId="0CD6CAF8" w14:textId="77777777" w:rsidR="00646A00" w:rsidRDefault="00646A00" w:rsidP="00646A00">
      <w:pPr>
        <w:pStyle w:val="Heading1"/>
      </w:pPr>
      <w:r>
        <w:lastRenderedPageBreak/>
        <w:t>Get in touch</w:t>
      </w:r>
    </w:p>
    <w:p w14:paraId="44E4941A" w14:textId="45FE081C" w:rsidR="00646A00" w:rsidRDefault="00646A00" w:rsidP="00646A00">
      <w:pPr>
        <w:pStyle w:val="Heading3"/>
      </w:pPr>
      <w:r>
        <w:t>Keep up</w:t>
      </w:r>
      <w:r w:rsidR="00F41C81">
        <w:t xml:space="preserve"> </w:t>
      </w:r>
      <w:r>
        <w:t>to</w:t>
      </w:r>
      <w:r w:rsidR="00F41C81">
        <w:t xml:space="preserve"> </w:t>
      </w:r>
      <w:r>
        <w:t>date with WDV; join our community</w:t>
      </w:r>
      <w:r w:rsidR="00462901">
        <w:t>.</w:t>
      </w:r>
    </w:p>
    <w:p w14:paraId="7357CD17" w14:textId="7995FE94" w:rsidR="008C5DC7" w:rsidRPr="008C5DC7" w:rsidRDefault="008C5DC7" w:rsidP="008C5DC7">
      <w:pPr>
        <w:rPr>
          <w:lang w:val="en-GB"/>
        </w:rPr>
      </w:pPr>
    </w:p>
    <w:p w14:paraId="36D596DB" w14:textId="51E9FCB4" w:rsidR="00203153" w:rsidRPr="00203153" w:rsidRDefault="00FF51EA" w:rsidP="005C4D89">
      <w:pPr>
        <w:pStyle w:val="NoSpacing"/>
        <w:rPr>
          <w:sz w:val="24"/>
          <w:szCs w:val="24"/>
          <w:lang w:val="en-GB"/>
        </w:rPr>
      </w:pPr>
      <w:hyperlink r:id="rId33" w:history="1">
        <w:r w:rsidR="00203153" w:rsidRPr="00203153">
          <w:rPr>
            <w:rStyle w:val="Hyperlink"/>
            <w:rFonts w:ascii="Verdana" w:hAnsi="Verdana"/>
            <w:sz w:val="24"/>
            <w:szCs w:val="24"/>
            <w:lang w:val="en-GB"/>
          </w:rPr>
          <w:t>Facebook</w:t>
        </w:r>
      </w:hyperlink>
      <w:r w:rsidR="00203153" w:rsidRPr="00203153">
        <w:rPr>
          <w:sz w:val="24"/>
          <w:szCs w:val="24"/>
          <w:lang w:val="en-GB"/>
        </w:rPr>
        <w:br/>
      </w:r>
      <w:hyperlink r:id="rId34" w:history="1">
        <w:r w:rsidR="00203153" w:rsidRPr="00203153">
          <w:rPr>
            <w:rStyle w:val="Hyperlink"/>
            <w:rFonts w:ascii="Verdana" w:hAnsi="Verdana"/>
            <w:sz w:val="24"/>
            <w:szCs w:val="24"/>
            <w:lang w:val="en-GB"/>
          </w:rPr>
          <w:t>Instagram</w:t>
        </w:r>
      </w:hyperlink>
    </w:p>
    <w:p w14:paraId="710F6100" w14:textId="52C6FC9B" w:rsidR="00462901" w:rsidRPr="00203153" w:rsidRDefault="00FF51EA" w:rsidP="005C4D89">
      <w:pPr>
        <w:pStyle w:val="NoSpacing"/>
        <w:rPr>
          <w:sz w:val="24"/>
          <w:szCs w:val="24"/>
          <w:lang w:val="en-GB"/>
        </w:rPr>
      </w:pPr>
      <w:hyperlink r:id="rId35" w:history="1">
        <w:r w:rsidR="00462901" w:rsidRPr="00203153">
          <w:rPr>
            <w:rStyle w:val="Hyperlink"/>
            <w:rFonts w:ascii="Verdana" w:hAnsi="Verdana"/>
            <w:sz w:val="24"/>
            <w:szCs w:val="24"/>
            <w:lang w:val="en-GB"/>
          </w:rPr>
          <w:t>LinkedIn</w:t>
        </w:r>
      </w:hyperlink>
    </w:p>
    <w:p w14:paraId="1EDF37AF" w14:textId="3D89F882" w:rsidR="00732ADD" w:rsidRPr="00203153" w:rsidRDefault="00FF51EA" w:rsidP="005C4D89">
      <w:pPr>
        <w:pStyle w:val="NoSpacing"/>
        <w:rPr>
          <w:sz w:val="24"/>
          <w:szCs w:val="24"/>
          <w:lang w:val="en-GB"/>
        </w:rPr>
      </w:pPr>
      <w:hyperlink r:id="rId36" w:history="1">
        <w:r w:rsidR="00462901" w:rsidRPr="00203153">
          <w:rPr>
            <w:rStyle w:val="Hyperlink"/>
            <w:rFonts w:ascii="Verdana" w:hAnsi="Verdana"/>
            <w:sz w:val="24"/>
            <w:szCs w:val="24"/>
            <w:lang w:val="en-GB"/>
          </w:rPr>
          <w:t>Twitter</w:t>
        </w:r>
      </w:hyperlink>
    </w:p>
    <w:p w14:paraId="01EE1EE0" w14:textId="0A10D3D2" w:rsidR="008C5DC7" w:rsidRPr="00203153" w:rsidRDefault="00FF51EA" w:rsidP="008C5DC7">
      <w:pPr>
        <w:rPr>
          <w:sz w:val="24"/>
          <w:szCs w:val="24"/>
          <w:lang w:val="en-GB"/>
        </w:rPr>
      </w:pPr>
      <w:hyperlink r:id="rId37" w:history="1">
        <w:r w:rsidR="00462901" w:rsidRPr="00203153">
          <w:rPr>
            <w:rStyle w:val="Hyperlink"/>
            <w:sz w:val="24"/>
            <w:szCs w:val="24"/>
          </w:rPr>
          <w:t>YouTube</w:t>
        </w:r>
      </w:hyperlink>
      <w:r w:rsidR="00732ADD" w:rsidRPr="00203153">
        <w:rPr>
          <w:sz w:val="24"/>
          <w:szCs w:val="24"/>
          <w:lang w:val="en-GB"/>
        </w:rPr>
        <w:t xml:space="preserve"> </w:t>
      </w:r>
    </w:p>
    <w:p w14:paraId="61940BD8" w14:textId="77777777" w:rsidR="00D6692A" w:rsidRPr="00203153" w:rsidRDefault="00D6692A" w:rsidP="005A60C1">
      <w:pPr>
        <w:rPr>
          <w:sz w:val="24"/>
          <w:szCs w:val="24"/>
          <w:lang w:val="en-GB"/>
        </w:rPr>
        <w:sectPr w:rsidR="00D6692A" w:rsidRPr="00203153" w:rsidSect="00646A00">
          <w:pgSz w:w="11906" w:h="16838" w:code="9"/>
          <w:pgMar w:top="992" w:right="851" w:bottom="992" w:left="851" w:header="567" w:footer="567" w:gutter="0"/>
          <w:cols w:space="284"/>
          <w:docGrid w:linePitch="360"/>
        </w:sectPr>
      </w:pPr>
    </w:p>
    <w:p w14:paraId="335A32A1" w14:textId="0FF994C3" w:rsidR="005A60C1" w:rsidRPr="00203153" w:rsidRDefault="005A60C1" w:rsidP="005A60C1">
      <w:pPr>
        <w:rPr>
          <w:sz w:val="24"/>
          <w:szCs w:val="24"/>
          <w:lang w:val="en-GB"/>
        </w:rPr>
      </w:pPr>
      <w:r w:rsidRPr="00203153">
        <w:rPr>
          <w:noProof/>
          <w:sz w:val="24"/>
          <w:szCs w:val="24"/>
          <w:lang w:eastAsia="en-AU"/>
        </w:rPr>
        <w:drawing>
          <wp:anchor distT="0" distB="0" distL="114300" distR="114300" simplePos="0" relativeHeight="251659264" behindDoc="0" locked="1" layoutInCell="1" allowOverlap="1" wp14:anchorId="7298472C" wp14:editId="68DA0B8A">
            <wp:simplePos x="0" y="0"/>
            <wp:positionH relativeFrom="margin">
              <wp:posOffset>-1480185</wp:posOffset>
            </wp:positionH>
            <wp:positionV relativeFrom="margin">
              <wp:posOffset>4196080</wp:posOffset>
            </wp:positionV>
            <wp:extent cx="9140190" cy="3276600"/>
            <wp:effectExtent l="0" t="0" r="3810" b="0"/>
            <wp:wrapTopAndBottom/>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0190" cy="32766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203153">
        <w:rPr>
          <w:sz w:val="24"/>
          <w:szCs w:val="24"/>
          <w:lang w:val="en-GB"/>
        </w:rPr>
        <w:t>Wurundjeri</w:t>
      </w:r>
      <w:proofErr w:type="spellEnd"/>
      <w:r w:rsidRPr="00203153">
        <w:rPr>
          <w:sz w:val="24"/>
          <w:szCs w:val="24"/>
          <w:lang w:val="en-GB"/>
        </w:rPr>
        <w:t xml:space="preserve"> Country</w:t>
      </w:r>
    </w:p>
    <w:p w14:paraId="265508FB" w14:textId="77777777" w:rsidR="005A60C1" w:rsidRPr="00203153" w:rsidRDefault="005A60C1" w:rsidP="005A60C1">
      <w:pPr>
        <w:pStyle w:val="NoSpacing"/>
        <w:rPr>
          <w:sz w:val="24"/>
          <w:szCs w:val="24"/>
          <w:lang w:val="en-GB"/>
        </w:rPr>
      </w:pPr>
      <w:r w:rsidRPr="00203153">
        <w:rPr>
          <w:sz w:val="24"/>
          <w:szCs w:val="24"/>
          <w:lang w:val="en-GB"/>
        </w:rPr>
        <w:t>Level 9, 255 Bourke Street</w:t>
      </w:r>
    </w:p>
    <w:p w14:paraId="27464B65" w14:textId="4ABED611" w:rsidR="005A60C1" w:rsidRPr="00203153" w:rsidRDefault="005A60C1" w:rsidP="005A60C1">
      <w:pPr>
        <w:pStyle w:val="NoSpacing"/>
        <w:rPr>
          <w:sz w:val="24"/>
          <w:szCs w:val="24"/>
          <w:lang w:val="en-GB"/>
        </w:rPr>
      </w:pPr>
      <w:r w:rsidRPr="00203153">
        <w:rPr>
          <w:sz w:val="24"/>
          <w:szCs w:val="24"/>
          <w:lang w:val="en-GB"/>
        </w:rPr>
        <w:t>Melbourne VIC 3000</w:t>
      </w:r>
    </w:p>
    <w:p w14:paraId="4EC71CBC" w14:textId="77777777" w:rsidR="005A60C1" w:rsidRPr="00203153" w:rsidRDefault="005A60C1" w:rsidP="005A60C1">
      <w:pPr>
        <w:pStyle w:val="NoSpacing"/>
        <w:rPr>
          <w:sz w:val="24"/>
          <w:szCs w:val="24"/>
          <w:lang w:val="en-GB"/>
        </w:rPr>
      </w:pPr>
    </w:p>
    <w:p w14:paraId="47A6373B" w14:textId="77777777" w:rsidR="005A60C1" w:rsidRPr="00203153" w:rsidRDefault="005A60C1" w:rsidP="005A60C1">
      <w:pPr>
        <w:pStyle w:val="NoSpacing"/>
        <w:rPr>
          <w:sz w:val="24"/>
          <w:szCs w:val="24"/>
          <w:lang w:val="en-GB"/>
        </w:rPr>
      </w:pPr>
      <w:r w:rsidRPr="00203153">
        <w:rPr>
          <w:sz w:val="24"/>
          <w:szCs w:val="24"/>
          <w:lang w:val="en-GB"/>
        </w:rPr>
        <w:t>Postal: GPO Box 1160</w:t>
      </w:r>
    </w:p>
    <w:p w14:paraId="4EA1B198" w14:textId="77777777" w:rsidR="005A60C1" w:rsidRPr="00203153" w:rsidRDefault="005A60C1" w:rsidP="005A60C1">
      <w:pPr>
        <w:pStyle w:val="NoSpacing"/>
        <w:rPr>
          <w:sz w:val="24"/>
          <w:szCs w:val="24"/>
          <w:lang w:val="en-GB"/>
        </w:rPr>
      </w:pPr>
      <w:r w:rsidRPr="00203153">
        <w:rPr>
          <w:sz w:val="24"/>
          <w:szCs w:val="24"/>
          <w:lang w:val="en-GB"/>
        </w:rPr>
        <w:t>Melbourne VIC 3001</w:t>
      </w:r>
    </w:p>
    <w:p w14:paraId="2C26E1EC" w14:textId="77777777" w:rsidR="005A60C1" w:rsidRPr="00203153" w:rsidRDefault="005A60C1" w:rsidP="005A60C1">
      <w:pPr>
        <w:pStyle w:val="NoSpacing"/>
        <w:rPr>
          <w:sz w:val="24"/>
          <w:szCs w:val="24"/>
          <w:lang w:val="en-GB"/>
        </w:rPr>
      </w:pPr>
    </w:p>
    <w:p w14:paraId="6AB5DC12" w14:textId="77777777" w:rsidR="005A60C1" w:rsidRPr="00203153" w:rsidRDefault="005A60C1" w:rsidP="005A60C1">
      <w:pPr>
        <w:pStyle w:val="NoSpacing"/>
        <w:rPr>
          <w:sz w:val="24"/>
          <w:szCs w:val="24"/>
          <w:lang w:val="en-GB"/>
        </w:rPr>
      </w:pPr>
      <w:r w:rsidRPr="00203153">
        <w:rPr>
          <w:sz w:val="24"/>
          <w:szCs w:val="24"/>
          <w:lang w:val="en-GB"/>
        </w:rPr>
        <w:t>Phone: 03 9286 7800</w:t>
      </w:r>
    </w:p>
    <w:p w14:paraId="5DC8875D" w14:textId="77691FBF" w:rsidR="005A60C1" w:rsidRPr="00203153" w:rsidRDefault="005A60C1" w:rsidP="005A60C1">
      <w:pPr>
        <w:pStyle w:val="NoSpacing"/>
        <w:rPr>
          <w:sz w:val="24"/>
          <w:szCs w:val="24"/>
          <w:lang w:val="en-GB"/>
        </w:rPr>
      </w:pPr>
      <w:r w:rsidRPr="00203153">
        <w:rPr>
          <w:sz w:val="24"/>
          <w:szCs w:val="24"/>
          <w:lang w:val="en-GB"/>
        </w:rPr>
        <w:t xml:space="preserve">Email: </w:t>
      </w:r>
      <w:hyperlink r:id="rId38" w:history="1">
        <w:r w:rsidR="00B20F7A" w:rsidRPr="00203153">
          <w:rPr>
            <w:rStyle w:val="Hyperlink"/>
            <w:rFonts w:ascii="Verdana" w:hAnsi="Verdana"/>
            <w:sz w:val="24"/>
            <w:szCs w:val="24"/>
            <w:lang w:val="en-GB"/>
          </w:rPr>
          <w:t>wdv@wdv.org.au</w:t>
        </w:r>
      </w:hyperlink>
      <w:r w:rsidR="00B20F7A" w:rsidRPr="00203153">
        <w:rPr>
          <w:sz w:val="24"/>
          <w:szCs w:val="24"/>
          <w:lang w:val="en-GB"/>
        </w:rPr>
        <w:t xml:space="preserve"> </w:t>
      </w:r>
    </w:p>
    <w:p w14:paraId="71D7EFCF" w14:textId="07975AD4" w:rsidR="005A60C1" w:rsidRPr="00203153" w:rsidRDefault="00FF51EA" w:rsidP="005A60C1">
      <w:pPr>
        <w:pStyle w:val="NoSpacing"/>
        <w:rPr>
          <w:sz w:val="24"/>
          <w:szCs w:val="24"/>
          <w:lang w:val="en-GB"/>
        </w:rPr>
      </w:pPr>
      <w:hyperlink r:id="rId39" w:history="1">
        <w:r w:rsidR="00B20F7A" w:rsidRPr="00203153">
          <w:rPr>
            <w:rStyle w:val="Hyperlink"/>
            <w:rFonts w:ascii="Verdana" w:hAnsi="Verdana"/>
            <w:sz w:val="24"/>
            <w:szCs w:val="24"/>
            <w:lang w:val="en-GB"/>
          </w:rPr>
          <w:t>www.wdv.org.au</w:t>
        </w:r>
      </w:hyperlink>
      <w:r w:rsidR="00B20F7A" w:rsidRPr="00203153">
        <w:rPr>
          <w:sz w:val="24"/>
          <w:szCs w:val="24"/>
          <w:lang w:val="en-GB"/>
        </w:rPr>
        <w:t xml:space="preserve"> </w:t>
      </w:r>
    </w:p>
    <w:p w14:paraId="54842612" w14:textId="6CB55D13" w:rsidR="00D6692A" w:rsidRDefault="00D6692A" w:rsidP="005A60C1">
      <w:pPr>
        <w:pStyle w:val="NoSpacing"/>
        <w:rPr>
          <w:lang w:val="en-GB"/>
        </w:rPr>
      </w:pPr>
    </w:p>
    <w:p w14:paraId="04C08842" w14:textId="6938043F" w:rsidR="00D6692A" w:rsidRDefault="00D6692A" w:rsidP="005A60C1">
      <w:pPr>
        <w:pStyle w:val="NoSpacing"/>
        <w:rPr>
          <w:lang w:val="en-GB"/>
        </w:rPr>
      </w:pPr>
    </w:p>
    <w:p w14:paraId="2507CE8A" w14:textId="070E1C72" w:rsidR="00D6692A" w:rsidRDefault="00D6692A" w:rsidP="005A60C1">
      <w:pPr>
        <w:pStyle w:val="NoSpacing"/>
        <w:rPr>
          <w:lang w:val="en-GB"/>
        </w:rPr>
      </w:pPr>
    </w:p>
    <w:p w14:paraId="4365E322" w14:textId="36C75F27" w:rsidR="00D6692A" w:rsidRDefault="00D6692A" w:rsidP="005A60C1">
      <w:pPr>
        <w:pStyle w:val="NoSpacing"/>
        <w:rPr>
          <w:lang w:val="en-GB"/>
        </w:rPr>
      </w:pPr>
    </w:p>
    <w:p w14:paraId="199A1FCE" w14:textId="48C2E3FF" w:rsidR="00D6692A" w:rsidRDefault="00D6692A" w:rsidP="005A60C1">
      <w:pPr>
        <w:pStyle w:val="NoSpacing"/>
        <w:rPr>
          <w:lang w:val="en-GB"/>
        </w:rPr>
      </w:pPr>
    </w:p>
    <w:p w14:paraId="77B19662" w14:textId="77777777" w:rsidR="00D6692A" w:rsidRDefault="00D6692A" w:rsidP="005A60C1">
      <w:pPr>
        <w:pStyle w:val="NoSpacing"/>
        <w:rPr>
          <w:lang w:val="en-GB"/>
        </w:rPr>
      </w:pPr>
    </w:p>
    <w:p w14:paraId="7387E5D7" w14:textId="3F896004" w:rsidR="00D6692A" w:rsidRDefault="00D6692A" w:rsidP="005A60C1">
      <w:pPr>
        <w:pStyle w:val="NoSpacing"/>
        <w:rPr>
          <w:lang w:val="en-GB"/>
        </w:rPr>
      </w:pPr>
    </w:p>
    <w:p w14:paraId="14355D7C" w14:textId="3DEFB048" w:rsidR="00D6692A" w:rsidRPr="008C5DC7" w:rsidRDefault="00D6692A" w:rsidP="005A60C1">
      <w:pPr>
        <w:pStyle w:val="NoSpacing"/>
        <w:rPr>
          <w:lang w:val="en-GB"/>
        </w:rPr>
      </w:pPr>
      <w:r>
        <w:rPr>
          <w:noProof/>
          <w:lang w:eastAsia="en-AU"/>
        </w:rPr>
        <w:drawing>
          <wp:inline distT="0" distB="0" distL="0" distR="0" wp14:anchorId="2F4A999E" wp14:editId="561537E4">
            <wp:extent cx="3058642" cy="533400"/>
            <wp:effectExtent l="0" t="0" r="8890" b="0"/>
            <wp:docPr id="22" name="Picture 22" descr="Women with Disabilitie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omen with Disabilities Victoria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6155" cy="539942"/>
                    </a:xfrm>
                    <a:prstGeom prst="rect">
                      <a:avLst/>
                    </a:prstGeom>
                  </pic:spPr>
                </pic:pic>
              </a:graphicData>
            </a:graphic>
          </wp:inline>
        </w:drawing>
      </w:r>
    </w:p>
    <w:sectPr w:rsidR="00D6692A" w:rsidRPr="008C5DC7" w:rsidSect="00D6692A">
      <w:type w:val="continuous"/>
      <w:pgSz w:w="11906" w:h="16838" w:code="9"/>
      <w:pgMar w:top="992" w:right="851" w:bottom="992" w:left="851" w:header="567" w:footer="567"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52E1" w14:textId="77777777" w:rsidR="00CC6F19" w:rsidRDefault="00CC6F19" w:rsidP="00D05F5C">
      <w:pPr>
        <w:spacing w:after="0" w:line="240" w:lineRule="auto"/>
      </w:pPr>
      <w:r>
        <w:separator/>
      </w:r>
    </w:p>
  </w:endnote>
  <w:endnote w:type="continuationSeparator" w:id="0">
    <w:p w14:paraId="6188BFB1" w14:textId="77777777" w:rsidR="00CC6F19" w:rsidRDefault="00CC6F19" w:rsidP="00D0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CD68" w14:textId="6DD644BC" w:rsidR="00D05F5C" w:rsidRPr="00D05F5C" w:rsidRDefault="00D05F5C" w:rsidP="007A5BC8">
    <w:pPr>
      <w:pStyle w:val="Footer"/>
      <w:rPr>
        <w:lang w:val="en-AU"/>
      </w:rPr>
    </w:pPr>
    <w:r>
      <w:rPr>
        <w:lang w:val="en-AU"/>
      </w:rPr>
      <w:t xml:space="preserve">Women with Disabilities Victoria | </w:t>
    </w:r>
    <w:r w:rsidRPr="00B2295D">
      <w:rPr>
        <w:color w:val="A9218E" w:themeColor="accent2"/>
        <w:lang w:val="en-AU"/>
      </w:rPr>
      <w:t>Annual Report 2020-2021</w:t>
    </w:r>
    <w:r w:rsidR="007A5BC8" w:rsidRPr="007A5BC8">
      <w:tab/>
      <w:t xml:space="preserve">Page </w:t>
    </w:r>
    <w:r w:rsidR="007A5BC8">
      <w:fldChar w:fldCharType="begin"/>
    </w:r>
    <w:r w:rsidR="007A5BC8">
      <w:instrText xml:space="preserve"> PAGE   \* MERGEFORMAT </w:instrText>
    </w:r>
    <w:r w:rsidR="007A5BC8">
      <w:fldChar w:fldCharType="separate"/>
    </w:r>
    <w:r w:rsidR="00AF1D58">
      <w:rPr>
        <w:noProof/>
      </w:rPr>
      <w:t>8</w:t>
    </w:r>
    <w:r w:rsidR="007A5BC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AFCB" w14:textId="77777777" w:rsidR="00CC6F19" w:rsidRDefault="00CC6F19" w:rsidP="00D05F5C">
      <w:pPr>
        <w:spacing w:after="0" w:line="240" w:lineRule="auto"/>
      </w:pPr>
      <w:r>
        <w:separator/>
      </w:r>
    </w:p>
  </w:footnote>
  <w:footnote w:type="continuationSeparator" w:id="0">
    <w:p w14:paraId="5B6227B6" w14:textId="77777777" w:rsidR="00CC6F19" w:rsidRDefault="00CC6F19" w:rsidP="00D05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C03A96"/>
    <w:lvl w:ilvl="0">
      <w:start w:val="1"/>
      <w:numFmt w:val="decimal"/>
      <w:lvlText w:val="%1."/>
      <w:lvlJc w:val="left"/>
      <w:pPr>
        <w:tabs>
          <w:tab w:val="num" w:pos="1492"/>
        </w:tabs>
        <w:ind w:left="1492" w:hanging="360"/>
      </w:pPr>
    </w:lvl>
  </w:abstractNum>
  <w:abstractNum w:abstractNumId="1" w15:restartNumberingAfterBreak="0">
    <w:nsid w:val="FFFFFF82"/>
    <w:multiLevelType w:val="singleLevel"/>
    <w:tmpl w:val="A786356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69E120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944A6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B73E1C"/>
    <w:multiLevelType w:val="multilevel"/>
    <w:tmpl w:val="FDD47BFE"/>
    <w:lvl w:ilvl="0">
      <w:start w:val="1"/>
      <w:numFmt w:val="bullet"/>
      <w:pStyle w:val="List-Bullets"/>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Arial" w:hAnsi="Arial" w:hint="default"/>
      </w:rPr>
    </w:lvl>
    <w:lvl w:ilvl="3">
      <w:start w:val="1"/>
      <w:numFmt w:val="bullet"/>
      <w:lvlText w:val="−"/>
      <w:lvlJc w:val="left"/>
      <w:pPr>
        <w:ind w:left="1428" w:hanging="357"/>
      </w:pPr>
      <w:rPr>
        <w:rFonts w:ascii="Arial" w:hAnsi="Arial" w:hint="default"/>
      </w:rPr>
    </w:lvl>
    <w:lvl w:ilvl="4">
      <w:start w:val="1"/>
      <w:numFmt w:val="bullet"/>
      <w:lvlText w:val="−"/>
      <w:lvlJc w:val="left"/>
      <w:pPr>
        <w:ind w:left="1785" w:hanging="357"/>
      </w:pPr>
      <w:rPr>
        <w:rFonts w:ascii="Arial" w:hAnsi="Arial" w:hint="default"/>
      </w:rPr>
    </w:lvl>
    <w:lvl w:ilvl="5">
      <w:start w:val="1"/>
      <w:numFmt w:val="bullet"/>
      <w:lvlText w:val="−"/>
      <w:lvlJc w:val="left"/>
      <w:pPr>
        <w:ind w:left="2142" w:hanging="357"/>
      </w:pPr>
      <w:rPr>
        <w:rFonts w:ascii="Arial" w:hAnsi="Arial" w:hint="default"/>
      </w:rPr>
    </w:lvl>
    <w:lvl w:ilvl="6">
      <w:start w:val="1"/>
      <w:numFmt w:val="bullet"/>
      <w:lvlText w:val="−"/>
      <w:lvlJc w:val="left"/>
      <w:pPr>
        <w:ind w:left="2499" w:hanging="357"/>
      </w:pPr>
      <w:rPr>
        <w:rFonts w:ascii="Arial" w:hAnsi="Arial" w:hint="default"/>
      </w:rPr>
    </w:lvl>
    <w:lvl w:ilvl="7">
      <w:start w:val="1"/>
      <w:numFmt w:val="bullet"/>
      <w:lvlText w:val="−"/>
      <w:lvlJc w:val="left"/>
      <w:pPr>
        <w:ind w:left="2856" w:hanging="357"/>
      </w:pPr>
      <w:rPr>
        <w:rFonts w:ascii="Arial" w:hAnsi="Arial" w:hint="default"/>
      </w:rPr>
    </w:lvl>
    <w:lvl w:ilvl="8">
      <w:start w:val="1"/>
      <w:numFmt w:val="bullet"/>
      <w:lvlText w:val="−"/>
      <w:lvlJc w:val="left"/>
      <w:pPr>
        <w:ind w:left="3213" w:hanging="357"/>
      </w:pPr>
      <w:rPr>
        <w:rFonts w:ascii="Arial" w:hAnsi="Arial" w:hint="default"/>
      </w:rPr>
    </w:lvl>
  </w:abstractNum>
  <w:abstractNum w:abstractNumId="5" w15:restartNumberingAfterBreak="0">
    <w:nsid w:val="3E3A01CD"/>
    <w:multiLevelType w:val="hybridMultilevel"/>
    <w:tmpl w:val="7334114C"/>
    <w:lvl w:ilvl="0" w:tplc="A5EE0DF2">
      <w:start w:val="1"/>
      <w:numFmt w:val="bullet"/>
      <w:pStyle w:val="ListBullet2"/>
      <w:lvlText w:val="–"/>
      <w:lvlJc w:val="left"/>
      <w:pPr>
        <w:ind w:left="1077" w:hanging="360"/>
      </w:pPr>
      <w:rPr>
        <w:rFonts w:ascii="Roboto" w:hAnsi="Roboto"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3F363315"/>
    <w:multiLevelType w:val="hybridMultilevel"/>
    <w:tmpl w:val="B53C5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9A1D9E"/>
    <w:multiLevelType w:val="hybridMultilevel"/>
    <w:tmpl w:val="FD36A83E"/>
    <w:lvl w:ilvl="0" w:tplc="9058EA78">
      <w:start w:val="1"/>
      <w:numFmt w:val="bullet"/>
      <w:pStyle w:val="ListBullet3"/>
      <w:lvlText w:val="–"/>
      <w:lvlJc w:val="left"/>
      <w:pPr>
        <w:ind w:left="1797" w:hanging="360"/>
      </w:pPr>
      <w:rPr>
        <w:rFonts w:ascii="Roboto" w:hAnsi="Roboto"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8" w15:restartNumberingAfterBreak="0">
    <w:nsid w:val="49574504"/>
    <w:multiLevelType w:val="hybridMultilevel"/>
    <w:tmpl w:val="04B4E170"/>
    <w:lvl w:ilvl="0" w:tplc="807814B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A251AB"/>
    <w:multiLevelType w:val="hybridMultilevel"/>
    <w:tmpl w:val="F62EFC0A"/>
    <w:lvl w:ilvl="0" w:tplc="60B20B0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9"/>
  </w:num>
  <w:num w:numId="4">
    <w:abstractNumId w:val="2"/>
  </w:num>
  <w:num w:numId="5">
    <w:abstractNumId w:val="9"/>
  </w:num>
  <w:num w:numId="6">
    <w:abstractNumId w:val="1"/>
  </w:num>
  <w:num w:numId="7">
    <w:abstractNumId w:val="9"/>
  </w:num>
  <w:num w:numId="8">
    <w:abstractNumId w:val="0"/>
  </w:num>
  <w:num w:numId="9">
    <w:abstractNumId w:val="5"/>
  </w:num>
  <w:num w:numId="10">
    <w:abstractNumId w:val="7"/>
  </w:num>
  <w:num w:numId="11">
    <w:abstractNumId w:val="4"/>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4C8"/>
    <w:rsid w:val="000026FA"/>
    <w:rsid w:val="00010CAF"/>
    <w:rsid w:val="00014EAB"/>
    <w:rsid w:val="00052397"/>
    <w:rsid w:val="00083501"/>
    <w:rsid w:val="000A04C8"/>
    <w:rsid w:val="000B435B"/>
    <w:rsid w:val="000C447C"/>
    <w:rsid w:val="00142FDD"/>
    <w:rsid w:val="00150450"/>
    <w:rsid w:val="00150A9B"/>
    <w:rsid w:val="00160798"/>
    <w:rsid w:val="00164B4F"/>
    <w:rsid w:val="0019336D"/>
    <w:rsid w:val="001B46BC"/>
    <w:rsid w:val="001C3630"/>
    <w:rsid w:val="00203153"/>
    <w:rsid w:val="0020344C"/>
    <w:rsid w:val="0022117E"/>
    <w:rsid w:val="002315DD"/>
    <w:rsid w:val="00241A8F"/>
    <w:rsid w:val="002474F1"/>
    <w:rsid w:val="002601A5"/>
    <w:rsid w:val="002721E5"/>
    <w:rsid w:val="00294718"/>
    <w:rsid w:val="002B027F"/>
    <w:rsid w:val="002B662D"/>
    <w:rsid w:val="002C02BA"/>
    <w:rsid w:val="002F0CEA"/>
    <w:rsid w:val="002F737F"/>
    <w:rsid w:val="00330E56"/>
    <w:rsid w:val="003520EB"/>
    <w:rsid w:val="003613B9"/>
    <w:rsid w:val="00364369"/>
    <w:rsid w:val="003757CB"/>
    <w:rsid w:val="0038151E"/>
    <w:rsid w:val="0039529F"/>
    <w:rsid w:val="003B5DBB"/>
    <w:rsid w:val="003D46F2"/>
    <w:rsid w:val="003F21AB"/>
    <w:rsid w:val="003F3476"/>
    <w:rsid w:val="004202EB"/>
    <w:rsid w:val="004511A5"/>
    <w:rsid w:val="00462901"/>
    <w:rsid w:val="00473763"/>
    <w:rsid w:val="0048149B"/>
    <w:rsid w:val="00487021"/>
    <w:rsid w:val="0049031B"/>
    <w:rsid w:val="00492A93"/>
    <w:rsid w:val="00495D51"/>
    <w:rsid w:val="004A2F88"/>
    <w:rsid w:val="004A4B00"/>
    <w:rsid w:val="004A6831"/>
    <w:rsid w:val="004A7799"/>
    <w:rsid w:val="004B3917"/>
    <w:rsid w:val="004B5B56"/>
    <w:rsid w:val="004C7BB4"/>
    <w:rsid w:val="004D1648"/>
    <w:rsid w:val="004D45A2"/>
    <w:rsid w:val="00510EC2"/>
    <w:rsid w:val="0051557B"/>
    <w:rsid w:val="005437BA"/>
    <w:rsid w:val="00560A32"/>
    <w:rsid w:val="00583D58"/>
    <w:rsid w:val="005A60C1"/>
    <w:rsid w:val="005C4D89"/>
    <w:rsid w:val="005E2E46"/>
    <w:rsid w:val="005F5E64"/>
    <w:rsid w:val="00600A0D"/>
    <w:rsid w:val="00602D25"/>
    <w:rsid w:val="00621A67"/>
    <w:rsid w:val="006325E8"/>
    <w:rsid w:val="00646A00"/>
    <w:rsid w:val="00651C3B"/>
    <w:rsid w:val="0066431E"/>
    <w:rsid w:val="00696424"/>
    <w:rsid w:val="006977DA"/>
    <w:rsid w:val="006B63E3"/>
    <w:rsid w:val="006C29C0"/>
    <w:rsid w:val="006D4641"/>
    <w:rsid w:val="00724066"/>
    <w:rsid w:val="00732ADD"/>
    <w:rsid w:val="00736270"/>
    <w:rsid w:val="00762D03"/>
    <w:rsid w:val="007703E0"/>
    <w:rsid w:val="007A5BC8"/>
    <w:rsid w:val="007B246D"/>
    <w:rsid w:val="007B53D0"/>
    <w:rsid w:val="007F42AF"/>
    <w:rsid w:val="00805BDA"/>
    <w:rsid w:val="0082508E"/>
    <w:rsid w:val="0086644B"/>
    <w:rsid w:val="00873B9C"/>
    <w:rsid w:val="00874D10"/>
    <w:rsid w:val="00897980"/>
    <w:rsid w:val="008C1DF6"/>
    <w:rsid w:val="008C5DC7"/>
    <w:rsid w:val="00905E04"/>
    <w:rsid w:val="0091141D"/>
    <w:rsid w:val="0093717B"/>
    <w:rsid w:val="00956CA8"/>
    <w:rsid w:val="0096280E"/>
    <w:rsid w:val="00977771"/>
    <w:rsid w:val="009870C6"/>
    <w:rsid w:val="009F38B5"/>
    <w:rsid w:val="00A00E36"/>
    <w:rsid w:val="00A07C5F"/>
    <w:rsid w:val="00A11B5D"/>
    <w:rsid w:val="00A1232B"/>
    <w:rsid w:val="00A15AD0"/>
    <w:rsid w:val="00A24584"/>
    <w:rsid w:val="00A367CC"/>
    <w:rsid w:val="00A45DEA"/>
    <w:rsid w:val="00A65A15"/>
    <w:rsid w:val="00A806FE"/>
    <w:rsid w:val="00AF1D58"/>
    <w:rsid w:val="00B113BD"/>
    <w:rsid w:val="00B20F7A"/>
    <w:rsid w:val="00B2295D"/>
    <w:rsid w:val="00B33BF6"/>
    <w:rsid w:val="00B365C8"/>
    <w:rsid w:val="00B7236A"/>
    <w:rsid w:val="00B73006"/>
    <w:rsid w:val="00B76ED7"/>
    <w:rsid w:val="00B93D5C"/>
    <w:rsid w:val="00B95907"/>
    <w:rsid w:val="00BB49E7"/>
    <w:rsid w:val="00BD0353"/>
    <w:rsid w:val="00BD52E1"/>
    <w:rsid w:val="00BD746D"/>
    <w:rsid w:val="00BD783F"/>
    <w:rsid w:val="00C40143"/>
    <w:rsid w:val="00CC6F19"/>
    <w:rsid w:val="00D05E42"/>
    <w:rsid w:val="00D05F5C"/>
    <w:rsid w:val="00D47A00"/>
    <w:rsid w:val="00D6692A"/>
    <w:rsid w:val="00D70AB8"/>
    <w:rsid w:val="00D8048D"/>
    <w:rsid w:val="00D83F75"/>
    <w:rsid w:val="00D860EB"/>
    <w:rsid w:val="00D92F78"/>
    <w:rsid w:val="00DC5043"/>
    <w:rsid w:val="00DD12A1"/>
    <w:rsid w:val="00DD2184"/>
    <w:rsid w:val="00DD30E6"/>
    <w:rsid w:val="00DF290A"/>
    <w:rsid w:val="00DF2E42"/>
    <w:rsid w:val="00DF7327"/>
    <w:rsid w:val="00E065AD"/>
    <w:rsid w:val="00E30AA9"/>
    <w:rsid w:val="00E44C86"/>
    <w:rsid w:val="00E50B8A"/>
    <w:rsid w:val="00E645B2"/>
    <w:rsid w:val="00E72D9D"/>
    <w:rsid w:val="00EC299C"/>
    <w:rsid w:val="00EF3F93"/>
    <w:rsid w:val="00F41C81"/>
    <w:rsid w:val="00F43A71"/>
    <w:rsid w:val="00F8490A"/>
    <w:rsid w:val="00FC39E2"/>
    <w:rsid w:val="00FF51EA"/>
    <w:rsid w:val="2DC2C58A"/>
    <w:rsid w:val="3389F9A0"/>
    <w:rsid w:val="33D516B2"/>
    <w:rsid w:val="3525CA01"/>
    <w:rsid w:val="37E58BB1"/>
    <w:rsid w:val="41EB24AC"/>
    <w:rsid w:val="4522C56E"/>
    <w:rsid w:val="567FB6C3"/>
    <w:rsid w:val="580EE6F6"/>
    <w:rsid w:val="58787780"/>
    <w:rsid w:val="690D4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E1504"/>
  <w15:docId w15:val="{5911EE64-C26B-4CC8-B266-4E75CE77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83F"/>
    <w:pPr>
      <w:spacing w:line="264" w:lineRule="auto"/>
    </w:pPr>
    <w:rPr>
      <w:sz w:val="20"/>
    </w:rPr>
  </w:style>
  <w:style w:type="paragraph" w:styleId="Heading1">
    <w:name w:val="heading 1"/>
    <w:basedOn w:val="Normal"/>
    <w:next w:val="Normal"/>
    <w:link w:val="Heading1Char"/>
    <w:uiPriority w:val="9"/>
    <w:qFormat/>
    <w:rsid w:val="00D860EB"/>
    <w:pPr>
      <w:outlineLvl w:val="0"/>
    </w:pPr>
    <w:rPr>
      <w:bCs/>
      <w:color w:val="652266"/>
      <w:sz w:val="44"/>
      <w:szCs w:val="44"/>
    </w:rPr>
  </w:style>
  <w:style w:type="paragraph" w:styleId="Heading2">
    <w:name w:val="heading 2"/>
    <w:basedOn w:val="Normal"/>
    <w:next w:val="Normal"/>
    <w:link w:val="Heading2Char"/>
    <w:uiPriority w:val="9"/>
    <w:qFormat/>
    <w:rsid w:val="00736270"/>
    <w:pPr>
      <w:autoSpaceDE w:val="0"/>
      <w:autoSpaceDN w:val="0"/>
      <w:adjustRightInd w:val="0"/>
      <w:spacing w:before="240" w:after="240" w:line="288" w:lineRule="auto"/>
      <w:textAlignment w:val="center"/>
      <w:outlineLvl w:val="1"/>
    </w:pPr>
    <w:rPr>
      <w:rFonts w:cs="Verdana"/>
      <w:bCs/>
      <w:color w:val="652165"/>
      <w:sz w:val="36"/>
      <w:szCs w:val="36"/>
      <w:lang w:val="en-GB"/>
    </w:rPr>
  </w:style>
  <w:style w:type="paragraph" w:styleId="Heading3">
    <w:name w:val="heading 3"/>
    <w:basedOn w:val="Normal"/>
    <w:next w:val="Normal"/>
    <w:link w:val="Heading3Char"/>
    <w:uiPriority w:val="9"/>
    <w:qFormat/>
    <w:rsid w:val="007B246D"/>
    <w:pPr>
      <w:suppressAutoHyphens/>
      <w:autoSpaceDE w:val="0"/>
      <w:autoSpaceDN w:val="0"/>
      <w:adjustRightInd w:val="0"/>
      <w:spacing w:before="60" w:after="160"/>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qFormat/>
    <w:rsid w:val="004D45A2"/>
    <w:pPr>
      <w:suppressAutoHyphens/>
      <w:autoSpaceDE w:val="0"/>
      <w:autoSpaceDN w:val="0"/>
      <w:adjustRightInd w:val="0"/>
      <w:spacing w:line="288" w:lineRule="auto"/>
      <w:textAlignment w:val="center"/>
      <w:outlineLvl w:val="3"/>
    </w:pPr>
    <w:rPr>
      <w:rFonts w:cs="Verdana"/>
      <w:b/>
      <w:bCs/>
      <w:color w:val="652165"/>
      <w:szCs w:val="24"/>
      <w:lang w:val="en-GB"/>
    </w:rPr>
  </w:style>
  <w:style w:type="paragraph" w:styleId="Heading5">
    <w:name w:val="heading 5"/>
    <w:basedOn w:val="Heading1"/>
    <w:next w:val="Normal"/>
    <w:link w:val="Heading5Char"/>
    <w:uiPriority w:val="9"/>
    <w:qFormat/>
    <w:rsid w:val="00736270"/>
    <w:pPr>
      <w:suppressAutoHyphens/>
      <w:autoSpaceDE w:val="0"/>
      <w:autoSpaceDN w:val="0"/>
      <w:adjustRightInd w:val="0"/>
      <w:spacing w:before="240" w:line="288" w:lineRule="auto"/>
      <w:textAlignment w:val="center"/>
      <w:outlineLvl w:val="4"/>
    </w:pPr>
    <w:rPr>
      <w:rFonts w:cs="Verdana"/>
      <w:bCs w:val="0"/>
      <w:color w:val="A9218E" w:themeColor="accent2"/>
      <w:szCs w:val="24"/>
      <w:lang w:val="en-GB"/>
    </w:rPr>
  </w:style>
  <w:style w:type="paragraph" w:styleId="Heading6">
    <w:name w:val="heading 6"/>
    <w:basedOn w:val="Heading2"/>
    <w:next w:val="Normal"/>
    <w:link w:val="Heading6Char"/>
    <w:uiPriority w:val="9"/>
    <w:qFormat/>
    <w:rsid w:val="00736270"/>
    <w:pPr>
      <w:keepNext/>
      <w:keepLines/>
      <w:spacing w:before="40" w:after="0"/>
      <w:outlineLvl w:val="5"/>
    </w:pPr>
    <w:rPr>
      <w:rFonts w:asciiTheme="majorHAnsi" w:eastAsiaTheme="majorEastAsia" w:hAnsiTheme="majorHAnsi" w:cstheme="majorBidi"/>
      <w:color w:val="A9218E" w:themeColor="accent2"/>
    </w:rPr>
  </w:style>
  <w:style w:type="paragraph" w:styleId="Heading7">
    <w:name w:val="heading 7"/>
    <w:basedOn w:val="Heading3"/>
    <w:next w:val="Normal"/>
    <w:link w:val="Heading7Char"/>
    <w:uiPriority w:val="9"/>
    <w:qFormat/>
    <w:rsid w:val="00736270"/>
    <w:pPr>
      <w:keepNext/>
      <w:keepLines/>
      <w:spacing w:before="40" w:after="0"/>
      <w:outlineLvl w:val="6"/>
    </w:pPr>
    <w:rPr>
      <w:rFonts w:asciiTheme="majorHAnsi" w:eastAsiaTheme="majorEastAsia" w:hAnsiTheme="majorHAnsi" w:cstheme="majorBidi"/>
      <w:iCs/>
      <w:color w:val="A9218E" w:themeColor="accent2"/>
    </w:rPr>
  </w:style>
  <w:style w:type="paragraph" w:styleId="Heading8">
    <w:name w:val="heading 8"/>
    <w:basedOn w:val="Heading4"/>
    <w:next w:val="Normal"/>
    <w:link w:val="Heading8Char"/>
    <w:uiPriority w:val="9"/>
    <w:qFormat/>
    <w:rsid w:val="00736270"/>
    <w:pPr>
      <w:keepNext/>
      <w:keepLines/>
      <w:spacing w:before="40" w:after="0"/>
      <w:outlineLvl w:val="7"/>
    </w:pPr>
    <w:rPr>
      <w:rFonts w:asciiTheme="majorHAnsi" w:eastAsiaTheme="majorEastAsia" w:hAnsiTheme="majorHAnsi" w:cstheme="majorBidi"/>
      <w:color w:val="A9218E" w:themeColor="accent2"/>
      <w:sz w:val="21"/>
      <w:szCs w:val="21"/>
    </w:rPr>
  </w:style>
  <w:style w:type="paragraph" w:styleId="Heading9">
    <w:name w:val="heading 9"/>
    <w:basedOn w:val="Normal"/>
    <w:next w:val="Normal"/>
    <w:link w:val="Heading9Char"/>
    <w:uiPriority w:val="9"/>
    <w:qFormat/>
    <w:rsid w:val="00A15AD0"/>
    <w:pPr>
      <w:keepNext/>
      <w:keepLines/>
      <w:spacing w:before="40" w:after="0"/>
      <w:outlineLvl w:val="8"/>
    </w:pPr>
    <w:rPr>
      <w:rFonts w:asciiTheme="majorHAnsi" w:eastAsiaTheme="majorEastAsia" w:hAnsiTheme="majorHAnsi" w:cstheme="majorBidi"/>
      <w:b/>
      <w:iCs/>
      <w:color w:val="272727" w:themeColor="text1" w:themeTint="D8"/>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36A"/>
    <w:rPr>
      <w:rFonts w:ascii="Segoe UI" w:hAnsi="Segoe UI" w:cs="Segoe UI"/>
      <w:sz w:val="18"/>
      <w:szCs w:val="18"/>
    </w:rPr>
  </w:style>
  <w:style w:type="paragraph" w:styleId="BodyText">
    <w:name w:val="Body Text"/>
    <w:basedOn w:val="Normal"/>
    <w:link w:val="BodyTextChar"/>
    <w:qFormat/>
    <w:rsid w:val="0038151E"/>
    <w:pPr>
      <w:autoSpaceDE w:val="0"/>
      <w:autoSpaceDN w:val="0"/>
      <w:adjustRightInd w:val="0"/>
      <w:spacing w:after="160"/>
    </w:pPr>
    <w:rPr>
      <w:rFonts w:cs="Arial"/>
      <w:sz w:val="22"/>
      <w:szCs w:val="24"/>
    </w:rPr>
  </w:style>
  <w:style w:type="character" w:customStyle="1" w:styleId="BodyTextChar">
    <w:name w:val="Body Text Char"/>
    <w:basedOn w:val="DefaultParagraphFont"/>
    <w:link w:val="BodyText"/>
    <w:rsid w:val="0038151E"/>
    <w:rPr>
      <w:rFonts w:cs="Arial"/>
      <w:szCs w:val="24"/>
    </w:rPr>
  </w:style>
  <w:style w:type="character" w:styleId="CommentReference">
    <w:name w:val="annotation reference"/>
    <w:basedOn w:val="DefaultParagraphFont"/>
    <w:uiPriority w:val="99"/>
    <w:semiHidden/>
    <w:unhideWhenUsed/>
    <w:rsid w:val="00B7236A"/>
    <w:rPr>
      <w:sz w:val="16"/>
      <w:szCs w:val="16"/>
    </w:rPr>
  </w:style>
  <w:style w:type="paragraph" w:styleId="CommentText">
    <w:name w:val="annotation text"/>
    <w:basedOn w:val="Normal"/>
    <w:link w:val="CommentTextChar"/>
    <w:uiPriority w:val="99"/>
    <w:unhideWhenUsed/>
    <w:rsid w:val="00B7236A"/>
    <w:pPr>
      <w:spacing w:line="240" w:lineRule="auto"/>
    </w:pPr>
    <w:rPr>
      <w:szCs w:val="20"/>
    </w:rPr>
  </w:style>
  <w:style w:type="character" w:customStyle="1" w:styleId="CommentTextChar">
    <w:name w:val="Comment Text Char"/>
    <w:basedOn w:val="DefaultParagraphFont"/>
    <w:link w:val="CommentText"/>
    <w:uiPriority w:val="99"/>
    <w:rsid w:val="00B7236A"/>
    <w:rPr>
      <w:rFonts w:ascii="Verdana" w:hAnsi="Verdana" w:cstheme="minorBidi"/>
      <w:sz w:val="20"/>
      <w:szCs w:val="20"/>
    </w:rPr>
  </w:style>
  <w:style w:type="paragraph" w:styleId="CommentSubject">
    <w:name w:val="annotation subject"/>
    <w:basedOn w:val="CommentText"/>
    <w:next w:val="CommentText"/>
    <w:link w:val="CommentSubjectChar"/>
    <w:uiPriority w:val="99"/>
    <w:semiHidden/>
    <w:unhideWhenUsed/>
    <w:rsid w:val="00B7236A"/>
    <w:rPr>
      <w:b/>
      <w:bCs/>
    </w:rPr>
  </w:style>
  <w:style w:type="character" w:customStyle="1" w:styleId="CommentSubjectChar">
    <w:name w:val="Comment Subject Char"/>
    <w:basedOn w:val="CommentTextChar"/>
    <w:link w:val="CommentSubject"/>
    <w:uiPriority w:val="99"/>
    <w:semiHidden/>
    <w:rsid w:val="00B7236A"/>
    <w:rPr>
      <w:rFonts w:ascii="Verdana" w:hAnsi="Verdana" w:cstheme="minorBidi"/>
      <w:b/>
      <w:bCs/>
      <w:sz w:val="20"/>
      <w:szCs w:val="20"/>
    </w:rPr>
  </w:style>
  <w:style w:type="paragraph" w:styleId="Date">
    <w:name w:val="Date"/>
    <w:basedOn w:val="Normal"/>
    <w:next w:val="Normal"/>
    <w:link w:val="DateChar"/>
    <w:uiPriority w:val="99"/>
    <w:rsid w:val="00B7236A"/>
  </w:style>
  <w:style w:type="character" w:customStyle="1" w:styleId="DateChar">
    <w:name w:val="Date Char"/>
    <w:basedOn w:val="DefaultParagraphFont"/>
    <w:link w:val="Date"/>
    <w:uiPriority w:val="99"/>
    <w:rsid w:val="00F8490A"/>
    <w:rPr>
      <w:rFonts w:ascii="Verdana" w:hAnsi="Verdana" w:cstheme="minorBidi"/>
      <w:szCs w:val="22"/>
    </w:rPr>
  </w:style>
  <w:style w:type="character" w:styleId="Emphasis">
    <w:name w:val="Emphasis"/>
    <w:aliases w:val="Italics"/>
    <w:basedOn w:val="DefaultParagraphFont"/>
    <w:uiPriority w:val="20"/>
    <w:qFormat/>
    <w:rsid w:val="00B7236A"/>
    <w:rPr>
      <w:i/>
      <w:iCs/>
    </w:rPr>
  </w:style>
  <w:style w:type="character" w:styleId="FollowedHyperlink">
    <w:name w:val="FollowedHyperlink"/>
    <w:basedOn w:val="DefaultParagraphFont"/>
    <w:uiPriority w:val="99"/>
    <w:rsid w:val="00B7236A"/>
    <w:rPr>
      <w:color w:val="652266"/>
      <w:u w:val="single"/>
    </w:rPr>
  </w:style>
  <w:style w:type="paragraph" w:styleId="Footer">
    <w:name w:val="footer"/>
    <w:link w:val="FooterChar"/>
    <w:uiPriority w:val="99"/>
    <w:rsid w:val="007A5BC8"/>
    <w:pPr>
      <w:tabs>
        <w:tab w:val="right" w:pos="10206"/>
      </w:tabs>
      <w:suppressAutoHyphens/>
      <w:autoSpaceDE w:val="0"/>
      <w:autoSpaceDN w:val="0"/>
      <w:adjustRightInd w:val="0"/>
      <w:spacing w:line="264" w:lineRule="auto"/>
      <w:textAlignment w:val="center"/>
    </w:pPr>
    <w:rPr>
      <w:rFonts w:ascii="Verdana" w:hAnsi="Verdana" w:cs="Verdana"/>
      <w:b/>
      <w:color w:val="652266" w:themeColor="accent1"/>
      <w:sz w:val="16"/>
      <w:szCs w:val="18"/>
      <w:lang w:val="en-GB"/>
    </w:rPr>
  </w:style>
  <w:style w:type="character" w:customStyle="1" w:styleId="FooterChar">
    <w:name w:val="Footer Char"/>
    <w:basedOn w:val="DefaultParagraphFont"/>
    <w:link w:val="Footer"/>
    <w:uiPriority w:val="99"/>
    <w:rsid w:val="007A5BC8"/>
    <w:rPr>
      <w:rFonts w:ascii="Verdana" w:hAnsi="Verdana" w:cs="Verdana"/>
      <w:b/>
      <w:color w:val="652266" w:themeColor="accent1"/>
      <w:sz w:val="16"/>
      <w:szCs w:val="18"/>
      <w:lang w:val="en-GB"/>
    </w:rPr>
  </w:style>
  <w:style w:type="character" w:styleId="FootnoteReference">
    <w:name w:val="footnote reference"/>
    <w:basedOn w:val="DefaultParagraphFont"/>
    <w:uiPriority w:val="99"/>
    <w:rsid w:val="00B7236A"/>
    <w:rPr>
      <w:vertAlign w:val="superscript"/>
    </w:rPr>
  </w:style>
  <w:style w:type="paragraph" w:styleId="Header">
    <w:name w:val="header"/>
    <w:basedOn w:val="Normal"/>
    <w:link w:val="HeaderChar"/>
    <w:uiPriority w:val="99"/>
    <w:unhideWhenUsed/>
    <w:rsid w:val="00A15AD0"/>
    <w:rPr>
      <w:caps/>
      <w:spacing w:val="20"/>
      <w:sz w:val="18"/>
    </w:rPr>
  </w:style>
  <w:style w:type="character" w:customStyle="1" w:styleId="HeaderChar">
    <w:name w:val="Header Char"/>
    <w:basedOn w:val="DefaultParagraphFont"/>
    <w:link w:val="Header"/>
    <w:uiPriority w:val="99"/>
    <w:rsid w:val="00A15AD0"/>
    <w:rPr>
      <w:rFonts w:ascii="Verdana" w:hAnsi="Verdana" w:cstheme="minorBidi"/>
      <w:caps/>
      <w:spacing w:val="20"/>
      <w:sz w:val="18"/>
      <w:szCs w:val="22"/>
    </w:rPr>
  </w:style>
  <w:style w:type="character" w:customStyle="1" w:styleId="Heading1Char">
    <w:name w:val="Heading 1 Char"/>
    <w:basedOn w:val="DefaultParagraphFont"/>
    <w:link w:val="Heading1"/>
    <w:uiPriority w:val="9"/>
    <w:rsid w:val="00D860EB"/>
    <w:rPr>
      <w:bCs/>
      <w:color w:val="652266"/>
      <w:sz w:val="44"/>
      <w:szCs w:val="44"/>
    </w:rPr>
  </w:style>
  <w:style w:type="character" w:customStyle="1" w:styleId="Heading2Char">
    <w:name w:val="Heading 2 Char"/>
    <w:basedOn w:val="DefaultParagraphFont"/>
    <w:link w:val="Heading2"/>
    <w:uiPriority w:val="9"/>
    <w:rsid w:val="00736270"/>
    <w:rPr>
      <w:rFonts w:ascii="Verdana" w:hAnsi="Verdana" w:cs="Verdana"/>
      <w:bCs/>
      <w:color w:val="652165"/>
      <w:sz w:val="36"/>
      <w:szCs w:val="36"/>
      <w:lang w:val="en-GB"/>
    </w:rPr>
  </w:style>
  <w:style w:type="character" w:customStyle="1" w:styleId="Heading3Char">
    <w:name w:val="Heading 3 Char"/>
    <w:basedOn w:val="DefaultParagraphFont"/>
    <w:link w:val="Heading3"/>
    <w:uiPriority w:val="9"/>
    <w:rsid w:val="007B246D"/>
    <w:rPr>
      <w:rFonts w:cs="Verdana"/>
      <w:b/>
      <w:bCs/>
      <w:color w:val="652165"/>
      <w:sz w:val="28"/>
      <w:szCs w:val="28"/>
      <w:lang w:val="en-GB"/>
    </w:rPr>
  </w:style>
  <w:style w:type="character" w:customStyle="1" w:styleId="Heading4Char">
    <w:name w:val="Heading 4 Char"/>
    <w:basedOn w:val="DefaultParagraphFont"/>
    <w:link w:val="Heading4"/>
    <w:uiPriority w:val="9"/>
    <w:rsid w:val="004D45A2"/>
    <w:rPr>
      <w:rFonts w:cs="Verdana"/>
      <w:b/>
      <w:bCs/>
      <w:color w:val="652165"/>
      <w:sz w:val="20"/>
      <w:szCs w:val="24"/>
      <w:lang w:val="en-GB"/>
    </w:rPr>
  </w:style>
  <w:style w:type="character" w:customStyle="1" w:styleId="Heading5Char">
    <w:name w:val="Heading 5 Char"/>
    <w:basedOn w:val="DefaultParagraphFont"/>
    <w:link w:val="Heading5"/>
    <w:uiPriority w:val="9"/>
    <w:rsid w:val="00736270"/>
    <w:rPr>
      <w:rFonts w:ascii="Verdana" w:hAnsi="Verdana" w:cs="Verdana"/>
      <w:color w:val="A9218E" w:themeColor="accent2"/>
      <w:sz w:val="44"/>
      <w:lang w:val="en-GB"/>
    </w:rPr>
  </w:style>
  <w:style w:type="paragraph" w:customStyle="1" w:styleId="Highlight-Pink">
    <w:name w:val="Highlight-Pink"/>
    <w:basedOn w:val="Normal"/>
    <w:next w:val="Normal"/>
    <w:rsid w:val="00F8490A"/>
    <w:rPr>
      <w:b/>
      <w:color w:val="A9218E" w:themeColor="accent2"/>
      <w:sz w:val="28"/>
      <w:szCs w:val="24"/>
    </w:rPr>
  </w:style>
  <w:style w:type="paragraph" w:customStyle="1" w:styleId="Highlight-Purple">
    <w:name w:val="Highlight-Purple"/>
    <w:basedOn w:val="Normal"/>
    <w:next w:val="Normal"/>
    <w:rsid w:val="00B7236A"/>
    <w:rPr>
      <w:b/>
      <w:color w:val="652266" w:themeColor="accent1"/>
      <w:sz w:val="28"/>
      <w:szCs w:val="24"/>
    </w:rPr>
  </w:style>
  <w:style w:type="character" w:styleId="Hyperlink">
    <w:name w:val="Hyperlink"/>
    <w:basedOn w:val="DefaultParagraphFont"/>
    <w:uiPriority w:val="99"/>
    <w:unhideWhenUsed/>
    <w:rsid w:val="00DC5043"/>
    <w:rPr>
      <w:rFonts w:asciiTheme="minorHAnsi" w:hAnsiTheme="minorHAnsi"/>
      <w:color w:val="652266"/>
      <w:u w:val="single"/>
    </w:rPr>
  </w:style>
  <w:style w:type="character" w:customStyle="1" w:styleId="Heading6Char">
    <w:name w:val="Heading 6 Char"/>
    <w:basedOn w:val="DefaultParagraphFont"/>
    <w:link w:val="Heading6"/>
    <w:uiPriority w:val="9"/>
    <w:rsid w:val="00736270"/>
    <w:rPr>
      <w:rFonts w:asciiTheme="majorHAnsi" w:eastAsiaTheme="majorEastAsia" w:hAnsiTheme="majorHAnsi" w:cstheme="majorBidi"/>
      <w:bCs/>
      <w:color w:val="A9218E" w:themeColor="accent2"/>
      <w:sz w:val="36"/>
      <w:szCs w:val="36"/>
      <w:lang w:val="en-GB"/>
    </w:rPr>
  </w:style>
  <w:style w:type="paragraph" w:styleId="ListParagraph">
    <w:name w:val="List Paragraph"/>
    <w:basedOn w:val="Normal"/>
    <w:uiPriority w:val="34"/>
    <w:qFormat/>
    <w:rsid w:val="00F8490A"/>
    <w:pPr>
      <w:numPr>
        <w:numId w:val="7"/>
      </w:numPr>
      <w:spacing w:after="60"/>
      <w:ind w:left="357" w:hanging="357"/>
    </w:pPr>
    <w:rPr>
      <w:rFonts w:cs="Arial"/>
      <w:szCs w:val="24"/>
      <w:lang w:val="en-GB"/>
    </w:rPr>
  </w:style>
  <w:style w:type="paragraph" w:styleId="ListBullet">
    <w:name w:val="List Bullet"/>
    <w:basedOn w:val="ListParagraph"/>
    <w:uiPriority w:val="99"/>
    <w:unhideWhenUsed/>
    <w:rsid w:val="00D860EB"/>
    <w:pPr>
      <w:spacing w:after="40"/>
    </w:pPr>
  </w:style>
  <w:style w:type="paragraph" w:styleId="ListBullet2">
    <w:name w:val="List Bullet 2"/>
    <w:basedOn w:val="ListParagraph"/>
    <w:uiPriority w:val="99"/>
    <w:unhideWhenUsed/>
    <w:rsid w:val="00F8490A"/>
    <w:pPr>
      <w:numPr>
        <w:numId w:val="9"/>
      </w:numPr>
    </w:pPr>
  </w:style>
  <w:style w:type="paragraph" w:styleId="ListBullet3">
    <w:name w:val="List Bullet 3"/>
    <w:basedOn w:val="ListParagraph"/>
    <w:uiPriority w:val="99"/>
    <w:unhideWhenUsed/>
    <w:rsid w:val="00F8490A"/>
    <w:pPr>
      <w:numPr>
        <w:numId w:val="10"/>
      </w:numPr>
    </w:pPr>
  </w:style>
  <w:style w:type="paragraph" w:customStyle="1" w:styleId="List-Bullets">
    <w:name w:val="List-Bullets"/>
    <w:basedOn w:val="Normal"/>
    <w:qFormat/>
    <w:rsid w:val="00B7236A"/>
    <w:pPr>
      <w:numPr>
        <w:numId w:val="11"/>
      </w:numPr>
      <w:spacing w:after="60"/>
    </w:pPr>
    <w:rPr>
      <w:szCs w:val="24"/>
      <w:lang w:val="en-GB"/>
    </w:rPr>
  </w:style>
  <w:style w:type="paragraph" w:styleId="NoSpacing">
    <w:name w:val="No Spacing"/>
    <w:uiPriority w:val="1"/>
    <w:qFormat/>
    <w:rsid w:val="004511A5"/>
    <w:pPr>
      <w:spacing w:after="0" w:line="240" w:lineRule="auto"/>
    </w:pPr>
    <w:rPr>
      <w:rFonts w:ascii="Verdana" w:hAnsi="Verdana" w:cstheme="minorBidi"/>
      <w:sz w:val="20"/>
    </w:rPr>
  </w:style>
  <w:style w:type="paragraph" w:styleId="NormalWeb">
    <w:name w:val="Normal (Web)"/>
    <w:basedOn w:val="Normal"/>
    <w:uiPriority w:val="99"/>
    <w:unhideWhenUsed/>
    <w:rsid w:val="00F8490A"/>
    <w:pPr>
      <w:spacing w:before="100" w:beforeAutospacing="1" w:after="100" w:afterAutospacing="1" w:line="240" w:lineRule="auto"/>
    </w:pPr>
    <w:rPr>
      <w:rFonts w:eastAsia="Times New Roman"/>
      <w:szCs w:val="24"/>
      <w:lang w:eastAsia="en-AU"/>
    </w:rPr>
  </w:style>
  <w:style w:type="character" w:styleId="PageNumber">
    <w:name w:val="page number"/>
    <w:uiPriority w:val="99"/>
    <w:unhideWhenUsed/>
    <w:rsid w:val="007703E0"/>
    <w:rPr>
      <w:rFonts w:asciiTheme="minorHAnsi" w:hAnsiTheme="minorHAnsi"/>
      <w:b/>
      <w:color w:val="652266" w:themeColor="accent1"/>
      <w:sz w:val="18"/>
    </w:rPr>
  </w:style>
  <w:style w:type="paragraph" w:customStyle="1" w:styleId="PageNumberParagraph">
    <w:name w:val="Page Number Paragraph"/>
    <w:basedOn w:val="Footer"/>
    <w:rsid w:val="00B7236A"/>
    <w:pPr>
      <w:framePr w:h="680" w:hRule="exact" w:wrap="around" w:vAnchor="page" w:hAnchor="page" w:x="10774" w:yAlign="bottom" w:anchorLock="1"/>
      <w:spacing w:after="0"/>
    </w:pPr>
  </w:style>
  <w:style w:type="character" w:styleId="PlaceholderText">
    <w:name w:val="Placeholder Text"/>
    <w:basedOn w:val="DefaultParagraphFont"/>
    <w:uiPriority w:val="99"/>
    <w:semiHidden/>
    <w:rsid w:val="00B7236A"/>
    <w:rPr>
      <w:color w:val="808080"/>
    </w:rPr>
  </w:style>
  <w:style w:type="paragraph" w:styleId="Quote">
    <w:name w:val="Quote"/>
    <w:basedOn w:val="Normal"/>
    <w:next w:val="Normal"/>
    <w:link w:val="QuoteChar"/>
    <w:uiPriority w:val="29"/>
    <w:qFormat/>
    <w:rsid w:val="00B7236A"/>
    <w:pPr>
      <w:suppressAutoHyphens/>
      <w:spacing w:before="240" w:after="240"/>
      <w:ind w:left="624" w:right="624"/>
      <w:jc w:val="center"/>
    </w:pPr>
    <w:rPr>
      <w:rFonts w:asciiTheme="majorHAnsi" w:hAnsiTheme="majorHAnsi"/>
      <w:iCs/>
      <w:color w:val="652266" w:themeColor="accent1"/>
      <w:szCs w:val="24"/>
    </w:rPr>
  </w:style>
  <w:style w:type="character" w:customStyle="1" w:styleId="QuoteChar">
    <w:name w:val="Quote Char"/>
    <w:basedOn w:val="DefaultParagraphFont"/>
    <w:link w:val="Quote"/>
    <w:uiPriority w:val="29"/>
    <w:rsid w:val="00B7236A"/>
    <w:rPr>
      <w:rFonts w:asciiTheme="majorHAnsi" w:hAnsiTheme="majorHAnsi"/>
      <w:iCs/>
      <w:color w:val="652266" w:themeColor="accent1"/>
    </w:rPr>
  </w:style>
  <w:style w:type="character" w:styleId="Strong">
    <w:name w:val="Strong"/>
    <w:aliases w:val="Bold"/>
    <w:basedOn w:val="DefaultParagraphFont"/>
    <w:uiPriority w:val="99"/>
    <w:qFormat/>
    <w:rsid w:val="00B7236A"/>
    <w:rPr>
      <w:b/>
      <w:bCs/>
    </w:rPr>
  </w:style>
  <w:style w:type="paragraph" w:styleId="Subtitle">
    <w:name w:val="Subtitle"/>
    <w:next w:val="Normal"/>
    <w:link w:val="SubtitleChar"/>
    <w:uiPriority w:val="11"/>
    <w:qFormat/>
    <w:rsid w:val="003F21AB"/>
    <w:rPr>
      <w:rFonts w:ascii="Verdana" w:hAnsi="Verdana" w:cs="Verdana"/>
      <w:bCs/>
      <w:color w:val="D97B1A" w:themeColor="accent3"/>
      <w:sz w:val="48"/>
      <w:szCs w:val="36"/>
      <w:lang w:val="en-GB"/>
    </w:rPr>
  </w:style>
  <w:style w:type="character" w:customStyle="1" w:styleId="SubtitleChar">
    <w:name w:val="Subtitle Char"/>
    <w:basedOn w:val="DefaultParagraphFont"/>
    <w:link w:val="Subtitle"/>
    <w:uiPriority w:val="11"/>
    <w:rsid w:val="003F21AB"/>
    <w:rPr>
      <w:rFonts w:ascii="Verdana" w:hAnsi="Verdana" w:cs="Verdana"/>
      <w:bCs/>
      <w:color w:val="D97B1A" w:themeColor="accent3"/>
      <w:sz w:val="48"/>
      <w:szCs w:val="36"/>
      <w:lang w:val="en-GB"/>
    </w:rPr>
  </w:style>
  <w:style w:type="character" w:styleId="SubtleEmphasis">
    <w:name w:val="Subtle Emphasis"/>
    <w:aliases w:val="Purple text"/>
    <w:uiPriority w:val="19"/>
    <w:semiHidden/>
    <w:qFormat/>
    <w:rsid w:val="00B7236A"/>
    <w:rPr>
      <w:color w:val="652266"/>
    </w:rPr>
  </w:style>
  <w:style w:type="table" w:styleId="TableGrid">
    <w:name w:val="Table Grid"/>
    <w:basedOn w:val="TableNormal"/>
    <w:uiPriority w:val="39"/>
    <w:rsid w:val="00B7236A"/>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3F21AB"/>
    <w:rPr>
      <w:rFonts w:ascii="Verdana" w:hAnsi="Verdana" w:cstheme="minorBidi"/>
      <w:bCs/>
      <w:color w:val="652266"/>
      <w:sz w:val="56"/>
      <w:szCs w:val="44"/>
    </w:rPr>
  </w:style>
  <w:style w:type="character" w:customStyle="1" w:styleId="TitleChar">
    <w:name w:val="Title Char"/>
    <w:basedOn w:val="DefaultParagraphFont"/>
    <w:link w:val="Title"/>
    <w:uiPriority w:val="10"/>
    <w:rsid w:val="003F21AB"/>
    <w:rPr>
      <w:rFonts w:ascii="Verdana" w:hAnsi="Verdana" w:cstheme="minorBidi"/>
      <w:bCs/>
      <w:color w:val="652266"/>
      <w:sz w:val="56"/>
      <w:szCs w:val="44"/>
    </w:rPr>
  </w:style>
  <w:style w:type="paragraph" w:styleId="TOC1">
    <w:name w:val="toc 1"/>
    <w:basedOn w:val="Normal"/>
    <w:next w:val="Normal"/>
    <w:autoRedefine/>
    <w:uiPriority w:val="39"/>
    <w:unhideWhenUsed/>
    <w:rsid w:val="00B7236A"/>
    <w:pPr>
      <w:spacing w:after="100"/>
    </w:pPr>
    <w:rPr>
      <w:b/>
    </w:rPr>
  </w:style>
  <w:style w:type="paragraph" w:styleId="TOC2">
    <w:name w:val="toc 2"/>
    <w:basedOn w:val="Normal"/>
    <w:next w:val="Normal"/>
    <w:autoRedefine/>
    <w:uiPriority w:val="39"/>
    <w:unhideWhenUsed/>
    <w:rsid w:val="00B7236A"/>
    <w:pPr>
      <w:spacing w:after="100"/>
      <w:ind w:left="397"/>
    </w:pPr>
    <w:rPr>
      <w:b/>
    </w:rPr>
  </w:style>
  <w:style w:type="paragraph" w:styleId="TOC3">
    <w:name w:val="toc 3"/>
    <w:basedOn w:val="Normal"/>
    <w:next w:val="Normal"/>
    <w:autoRedefine/>
    <w:uiPriority w:val="39"/>
    <w:unhideWhenUsed/>
    <w:rsid w:val="00B7236A"/>
    <w:pPr>
      <w:spacing w:after="60"/>
      <w:ind w:left="794"/>
    </w:pPr>
  </w:style>
  <w:style w:type="paragraph" w:styleId="TOCHeading">
    <w:name w:val="TOC Heading"/>
    <w:basedOn w:val="Normal"/>
    <w:next w:val="Normal"/>
    <w:uiPriority w:val="39"/>
    <w:unhideWhenUsed/>
    <w:qFormat/>
    <w:rsid w:val="00B7236A"/>
    <w:pPr>
      <w:keepNext/>
      <w:keepLines/>
      <w:spacing w:after="240" w:line="259" w:lineRule="auto"/>
    </w:pPr>
    <w:rPr>
      <w:rFonts w:eastAsiaTheme="majorEastAsia" w:cstheme="majorBidi"/>
      <w:b/>
      <w:bCs/>
      <w:color w:val="652266"/>
      <w:sz w:val="36"/>
      <w:szCs w:val="32"/>
      <w:lang w:val="en-US"/>
    </w:rPr>
  </w:style>
  <w:style w:type="character" w:customStyle="1" w:styleId="Heading7Char">
    <w:name w:val="Heading 7 Char"/>
    <w:basedOn w:val="DefaultParagraphFont"/>
    <w:link w:val="Heading7"/>
    <w:uiPriority w:val="9"/>
    <w:rsid w:val="00736270"/>
    <w:rPr>
      <w:rFonts w:asciiTheme="majorHAnsi" w:eastAsiaTheme="majorEastAsia" w:hAnsiTheme="majorHAnsi" w:cstheme="majorBidi"/>
      <w:b/>
      <w:bCs/>
      <w:iCs/>
      <w:color w:val="A9218E" w:themeColor="accent2"/>
      <w:sz w:val="28"/>
      <w:szCs w:val="28"/>
      <w:lang w:val="en-GB"/>
    </w:rPr>
  </w:style>
  <w:style w:type="character" w:customStyle="1" w:styleId="Heading8Char">
    <w:name w:val="Heading 8 Char"/>
    <w:basedOn w:val="DefaultParagraphFont"/>
    <w:link w:val="Heading8"/>
    <w:uiPriority w:val="9"/>
    <w:rsid w:val="00736270"/>
    <w:rPr>
      <w:rFonts w:asciiTheme="majorHAnsi" w:eastAsiaTheme="majorEastAsia" w:hAnsiTheme="majorHAnsi" w:cstheme="majorBidi"/>
      <w:b/>
      <w:bCs/>
      <w:color w:val="A9218E" w:themeColor="accent2"/>
      <w:sz w:val="21"/>
      <w:szCs w:val="21"/>
      <w:lang w:val="en-GB"/>
    </w:rPr>
  </w:style>
  <w:style w:type="character" w:customStyle="1" w:styleId="Heading9Char">
    <w:name w:val="Heading 9 Char"/>
    <w:basedOn w:val="DefaultParagraphFont"/>
    <w:link w:val="Heading9"/>
    <w:uiPriority w:val="9"/>
    <w:rsid w:val="00A15AD0"/>
    <w:rPr>
      <w:rFonts w:asciiTheme="majorHAnsi" w:eastAsiaTheme="majorEastAsia" w:hAnsiTheme="majorHAnsi" w:cstheme="majorBidi"/>
      <w:b/>
      <w:iCs/>
      <w:color w:val="272727" w:themeColor="text1" w:themeTint="D8"/>
      <w:sz w:val="28"/>
      <w:szCs w:val="21"/>
    </w:rPr>
  </w:style>
  <w:style w:type="paragraph" w:styleId="BodyText2">
    <w:name w:val="Body Text 2"/>
    <w:basedOn w:val="Normal"/>
    <w:link w:val="BodyText2Char"/>
    <w:uiPriority w:val="99"/>
    <w:rsid w:val="00D47A00"/>
    <w:pPr>
      <w:spacing w:line="360" w:lineRule="auto"/>
    </w:pPr>
    <w:rPr>
      <w:sz w:val="22"/>
    </w:rPr>
  </w:style>
  <w:style w:type="character" w:customStyle="1" w:styleId="BodyText2Char">
    <w:name w:val="Body Text 2 Char"/>
    <w:basedOn w:val="DefaultParagraphFont"/>
    <w:link w:val="BodyText2"/>
    <w:uiPriority w:val="99"/>
    <w:rsid w:val="00D47A00"/>
    <w:rPr>
      <w:rFonts w:ascii="Verdana" w:hAnsi="Verdana" w:cstheme="minorBidi"/>
      <w:sz w:val="22"/>
      <w:szCs w:val="22"/>
    </w:rPr>
  </w:style>
  <w:style w:type="paragraph" w:styleId="BodyText3">
    <w:name w:val="Body Text 3"/>
    <w:basedOn w:val="Normal"/>
    <w:link w:val="BodyText3Char"/>
    <w:uiPriority w:val="99"/>
    <w:rsid w:val="00D47A00"/>
    <w:pPr>
      <w:spacing w:line="480" w:lineRule="auto"/>
    </w:pPr>
    <w:rPr>
      <w:sz w:val="22"/>
      <w:szCs w:val="16"/>
    </w:rPr>
  </w:style>
  <w:style w:type="character" w:customStyle="1" w:styleId="BodyText3Char">
    <w:name w:val="Body Text 3 Char"/>
    <w:basedOn w:val="DefaultParagraphFont"/>
    <w:link w:val="BodyText3"/>
    <w:uiPriority w:val="99"/>
    <w:rsid w:val="00D47A00"/>
    <w:rPr>
      <w:rFonts w:ascii="Verdana" w:hAnsi="Verdana" w:cstheme="minorBidi"/>
      <w:sz w:val="22"/>
      <w:szCs w:val="16"/>
    </w:rPr>
  </w:style>
  <w:style w:type="character" w:styleId="IntenseEmphasis">
    <w:name w:val="Intense Emphasis"/>
    <w:basedOn w:val="DefaultParagraphFont"/>
    <w:uiPriority w:val="21"/>
    <w:qFormat/>
    <w:rsid w:val="00160798"/>
    <w:rPr>
      <w:i w:val="0"/>
      <w:iCs/>
      <w:color w:val="652266" w:themeColor="accent1"/>
      <w:sz w:val="24"/>
    </w:rPr>
  </w:style>
  <w:style w:type="character" w:customStyle="1" w:styleId="BoldPurple">
    <w:name w:val="Bold Purple"/>
    <w:basedOn w:val="Strong"/>
    <w:uiPriority w:val="1"/>
    <w:qFormat/>
    <w:rsid w:val="00977771"/>
    <w:rPr>
      <w:b/>
      <w:bCs/>
      <w:color w:val="652266" w:themeColor="accent1"/>
    </w:rPr>
  </w:style>
  <w:style w:type="character" w:customStyle="1" w:styleId="UnresolvedMention1">
    <w:name w:val="Unresolved Mention1"/>
    <w:basedOn w:val="DefaultParagraphFont"/>
    <w:uiPriority w:val="99"/>
    <w:semiHidden/>
    <w:unhideWhenUsed/>
    <w:rsid w:val="00732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wdv.org.au/our-strategic-plan-2021-2024/" TargetMode="External"/><Relationship Id="rId26" Type="http://schemas.openxmlformats.org/officeDocument/2006/relationships/image" Target="media/image5.jpeg"/><Relationship Id="rId39" Type="http://schemas.openxmlformats.org/officeDocument/2006/relationships/hyperlink" Target="http://www.wdv.org.au" TargetMode="External"/><Relationship Id="rId21" Type="http://schemas.openxmlformats.org/officeDocument/2006/relationships/hyperlink" Target="https://www.wdv.org.au/our-work/our-work-with-women/hubs/" TargetMode="External"/><Relationship Id="rId34" Type="http://schemas.openxmlformats.org/officeDocument/2006/relationships/hyperlink" Target="https://www.instagram.com/womenwithdisabilitiesvi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https://www.wdv.org.au/about-us/our-staff/" TargetMode="External"/><Relationship Id="rId29" Type="http://schemas.openxmlformats.org/officeDocument/2006/relationships/image" Target="media/image7.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dv.org.au/our-work/our-work-with-women/experts-by-experience/" TargetMode="External"/><Relationship Id="rId32" Type="http://schemas.openxmlformats.org/officeDocument/2006/relationships/image" Target="media/image8.jpeg"/><Relationship Id="rId37" Type="http://schemas.openxmlformats.org/officeDocument/2006/relationships/hyperlink" Target="https://www.youtube.com/user/WDVchanne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dv.org.au/our-work/our-work-with-women/enabling-women-leadership-program/" TargetMode="External"/><Relationship Id="rId23" Type="http://schemas.openxmlformats.org/officeDocument/2006/relationships/hyperlink" Target="https://www.wdv.org.au/our-work/our-work-with-organisations/safeguards-project/" TargetMode="External"/><Relationship Id="rId28" Type="http://schemas.openxmlformats.org/officeDocument/2006/relationships/image" Target="media/image6.jpeg"/><Relationship Id="rId36" Type="http://schemas.openxmlformats.org/officeDocument/2006/relationships/hyperlink" Target="https://twitter.com/WDVtweet" TargetMode="External"/><Relationship Id="rId10" Type="http://schemas.openxmlformats.org/officeDocument/2006/relationships/endnotes" Target="endnotes.xml"/><Relationship Id="rId19" Type="http://schemas.openxmlformats.org/officeDocument/2006/relationships/hyperlink" Target="https://www.wdv.org.au/publications-resources/wdv-fact-sheets/" TargetMode="External"/><Relationship Id="rId31" Type="http://schemas.openxmlformats.org/officeDocument/2006/relationships/hyperlink" Target="https://www.wdv.org.au/health-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wdv.org.au/our-work/youthprojects/" TargetMode="External"/><Relationship Id="rId27" Type="http://schemas.openxmlformats.org/officeDocument/2006/relationships/hyperlink" Target="https://www.wdv.org.au/health-resources/" TargetMode="External"/><Relationship Id="rId30" Type="http://schemas.openxmlformats.org/officeDocument/2006/relationships/hyperlink" Target="https://www.wdv.org.au/family-violence-resources/" TargetMode="External"/><Relationship Id="rId35" Type="http://schemas.openxmlformats.org/officeDocument/2006/relationships/hyperlink" Target="https://www.linkedin.com/company/womenwithdisabilitiesvictoria/"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wdv.org.au/our-board/" TargetMode="External"/><Relationship Id="rId25" Type="http://schemas.openxmlformats.org/officeDocument/2006/relationships/hyperlink" Target="https://www.wdv.org.au/our-work/our-work-with-organisations/policy-resources/" TargetMode="External"/><Relationship Id="rId33" Type="http://schemas.openxmlformats.org/officeDocument/2006/relationships/hyperlink" Target="https://www.facebook.com/womenwithdisabilitiesvictoria" TargetMode="External"/><Relationship Id="rId38" Type="http://schemas.openxmlformats.org/officeDocument/2006/relationships/hyperlink" Target="mailto:wdv@wdv.org.au" TargetMode="External"/></Relationships>
</file>

<file path=word/theme/theme1.xml><?xml version="1.0" encoding="utf-8"?>
<a:theme xmlns:a="http://schemas.openxmlformats.org/drawingml/2006/main" name="Women with Disabilities VIC">
  <a:themeElements>
    <a:clrScheme name="Women with Disabilities Victoria">
      <a:dk1>
        <a:sysClr val="windowText" lastClr="000000"/>
      </a:dk1>
      <a:lt1>
        <a:sysClr val="window" lastClr="FFFFFF"/>
      </a:lt1>
      <a:dk2>
        <a:srgbClr val="000000"/>
      </a:dk2>
      <a:lt2>
        <a:srgbClr val="FFF7E7"/>
      </a:lt2>
      <a:accent1>
        <a:srgbClr val="652266"/>
      </a:accent1>
      <a:accent2>
        <a:srgbClr val="A9218E"/>
      </a:accent2>
      <a:accent3>
        <a:srgbClr val="D97B1A"/>
      </a:accent3>
      <a:accent4>
        <a:srgbClr val="EBC4B1"/>
      </a:accent4>
      <a:accent5>
        <a:srgbClr val="E6CEE3"/>
      </a:accent5>
      <a:accent6>
        <a:srgbClr val="D8C8D7"/>
      </a:accent6>
      <a:hlink>
        <a:srgbClr val="652266"/>
      </a:hlink>
      <a:folHlink>
        <a:srgbClr val="D97B1A"/>
      </a:folHlink>
    </a:clrScheme>
    <a:fontScheme name="Women with Disabilties Victoria">
      <a:majorFont>
        <a:latin typeface="Verdana Pro"/>
        <a:ea typeface=""/>
        <a:cs typeface=""/>
      </a:majorFont>
      <a:minorFont>
        <a:latin typeface="Verdana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none" lIns="36000" tIns="36000" rIns="36000" bIns="36000" rtlCol="0">
        <a:spAutoFit/>
      </a:bodyPr>
      <a:lstStyle>
        <a:defPPr algn="l">
          <a:defRPr sz="1400" dirty="0" smtClean="0">
            <a:latin typeface="Source Sans Pro Light" panose="020B0403030403020204" pitchFamily="34" charset="0"/>
          </a:defRPr>
        </a:defPPr>
      </a:lstStyle>
    </a:txDef>
  </a:objectDefaults>
  <a:extraClrSchemeLst/>
  <a:extLst>
    <a:ext uri="{05A4C25C-085E-4340-85A3-A5531E510DB2}">
      <thm15:themeFamily xmlns:thm15="http://schemas.microsoft.com/office/thememl/2012/main" name="Women with Disabilities VIC" id="{C77AF81D-6D79-4731-A540-5CE4892E368F}" vid="{52A6048C-B910-4041-8F7B-949D7FEED37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95ABB3D2EF1344ABB634D97E6AA01D" ma:contentTypeVersion="11" ma:contentTypeDescription="Create a new document." ma:contentTypeScope="" ma:versionID="c6032a4e0c7cc8de0ec677c87a7998ef">
  <xsd:schema xmlns:xsd="http://www.w3.org/2001/XMLSchema" xmlns:xs="http://www.w3.org/2001/XMLSchema" xmlns:p="http://schemas.microsoft.com/office/2006/metadata/properties" xmlns:ns2="89d6257a-ba65-4aab-be00-15c17926f6e8" xmlns:ns3="3c0bf09d-fe60-469a-bcfc-dfe7d875677d" targetNamespace="http://schemas.microsoft.com/office/2006/metadata/properties" ma:root="true" ma:fieldsID="aebc34a6b215d1cfa4d747a68d4dd75a" ns2:_="" ns3:_="">
    <xsd:import namespace="89d6257a-ba65-4aab-be00-15c17926f6e8"/>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6257a-ba65-4aab-be00-15c17926f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9D9F6-8497-4D65-B296-A9B488FC4305}">
  <ds:schemaRefs>
    <ds:schemaRef ds:uri="http://schemas.microsoft.com/sharepoint/v3/contenttype/forms"/>
  </ds:schemaRefs>
</ds:datastoreItem>
</file>

<file path=customXml/itemProps2.xml><?xml version="1.0" encoding="utf-8"?>
<ds:datastoreItem xmlns:ds="http://schemas.openxmlformats.org/officeDocument/2006/customXml" ds:itemID="{C979FF04-47D3-4A9C-88C4-509690AE8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6257a-ba65-4aab-be00-15c17926f6e8"/>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12791-C4C0-42AD-9192-8D7092116D66}">
  <ds:schemaRefs>
    <ds:schemaRef ds:uri="http://schemas.openxmlformats.org/officeDocument/2006/bibliography"/>
  </ds:schemaRefs>
</ds:datastoreItem>
</file>

<file path=customXml/itemProps4.xml><?xml version="1.0" encoding="utf-8"?>
<ds:datastoreItem xmlns:ds="http://schemas.openxmlformats.org/officeDocument/2006/customXml" ds:itemID="{308B9EA9-EB64-417E-8E0E-AC63C7661589}">
  <ds:schemaRefs>
    <ds:schemaRef ds:uri="http://schemas.microsoft.com/office/2006/documentManagement/types"/>
    <ds:schemaRef ds:uri="http://schemas.microsoft.com/office/infopath/2007/PartnerControls"/>
    <ds:schemaRef ds:uri="http://purl.org/dc/dcmitype/"/>
    <ds:schemaRef ds:uri="89d6257a-ba65-4aab-be00-15c17926f6e8"/>
    <ds:schemaRef ds:uri="3c0bf09d-fe60-469a-bcfc-dfe7d875677d"/>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4740</Words>
  <Characters>27022</Characters>
  <Application>Microsoft Office Word</Application>
  <DocSecurity>0</DocSecurity>
  <Lines>225</Lines>
  <Paragraphs>63</Paragraphs>
  <ScaleCrop>false</ScaleCrop>
  <Manager/>
  <Company>Women with Disabilities Victoria</Company>
  <LinksUpToDate>false</LinksUpToDate>
  <CharactersWithSpaces>31699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Carleen Imlach</dc:creator>
  <cp:keywords/>
  <dc:description/>
  <cp:lastModifiedBy>Laura Pettenuzzo</cp:lastModifiedBy>
  <cp:revision>7</cp:revision>
  <dcterms:created xsi:type="dcterms:W3CDTF">2021-11-16T22:45:00Z</dcterms:created>
  <dcterms:modified xsi:type="dcterms:W3CDTF">2021-11-16T23:21:00Z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0x010100A295ABB3D2EF1344ABB634D97E6AA01D</vt:lpwstr>
  </property>
</Properties>
</file>