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1C081" w14:textId="4CD3F205" w:rsidR="00BD7422" w:rsidRPr="00623808" w:rsidRDefault="00BD7422" w:rsidP="00F5359D">
      <w:pPr>
        <w:jc w:val="center"/>
      </w:pPr>
    </w:p>
    <w:p w14:paraId="54839BFA" w14:textId="77777777" w:rsidR="00BD7422" w:rsidRDefault="00BD7422" w:rsidP="00F5359D">
      <w:pPr>
        <w:jc w:val="center"/>
        <w:rPr>
          <w:b/>
          <w:color w:val="652266"/>
          <w:sz w:val="56"/>
        </w:rPr>
      </w:pPr>
      <w:bookmarkStart w:id="0" w:name="_Toc46419479"/>
    </w:p>
    <w:p w14:paraId="21B43E2B" w14:textId="77777777" w:rsidR="00BD7422" w:rsidRDefault="00BD7422" w:rsidP="00F5359D">
      <w:pPr>
        <w:jc w:val="center"/>
        <w:rPr>
          <w:b/>
          <w:color w:val="652266"/>
          <w:sz w:val="56"/>
        </w:rPr>
      </w:pPr>
    </w:p>
    <w:p w14:paraId="13DBE39A" w14:textId="77777777" w:rsidR="00BD7422" w:rsidRDefault="00BD7422" w:rsidP="00F5359D">
      <w:pPr>
        <w:jc w:val="center"/>
        <w:rPr>
          <w:b/>
          <w:color w:val="652266"/>
          <w:sz w:val="56"/>
        </w:rPr>
      </w:pPr>
    </w:p>
    <w:bookmarkEnd w:id="0"/>
    <w:p w14:paraId="3A62FB84" w14:textId="3D8303C3" w:rsidR="00BD7422" w:rsidRPr="00F5359D" w:rsidRDefault="00BD7422" w:rsidP="00F5359D">
      <w:pPr>
        <w:pStyle w:val="Title"/>
        <w:spacing w:line="276" w:lineRule="auto"/>
        <w:jc w:val="center"/>
        <w:rPr>
          <w:rFonts w:ascii="Verdana" w:hAnsi="Verdana"/>
          <w:b/>
          <w:bCs/>
          <w:color w:val="652266" w:themeColor="accent1"/>
        </w:rPr>
      </w:pPr>
      <w:r w:rsidRPr="00F5359D">
        <w:rPr>
          <w:rFonts w:ascii="Verdana" w:hAnsi="Verdana"/>
          <w:b/>
          <w:bCs/>
          <w:color w:val="652266" w:themeColor="accent1"/>
        </w:rPr>
        <w:t>Case Study:</w:t>
      </w:r>
    </w:p>
    <w:p w14:paraId="3ABB8F68" w14:textId="7CC44013" w:rsidR="00BD7422" w:rsidRPr="00F5359D" w:rsidRDefault="00BD7422" w:rsidP="00F5359D">
      <w:pPr>
        <w:pStyle w:val="Title"/>
        <w:spacing w:line="276" w:lineRule="auto"/>
        <w:jc w:val="center"/>
        <w:rPr>
          <w:rFonts w:ascii="Verdana" w:hAnsi="Verdana"/>
          <w:b/>
          <w:bCs/>
          <w:color w:val="652266" w:themeColor="accent1"/>
        </w:rPr>
      </w:pPr>
      <w:r w:rsidRPr="00F5359D">
        <w:rPr>
          <w:rFonts w:ascii="Verdana" w:hAnsi="Verdana"/>
          <w:b/>
          <w:bCs/>
          <w:color w:val="652266" w:themeColor="accent1"/>
        </w:rPr>
        <w:t>WDV and Safe &amp; Equal – Prevent X Conference</w:t>
      </w:r>
    </w:p>
    <w:p w14:paraId="0257CAF4" w14:textId="77777777" w:rsidR="00BD7422" w:rsidRDefault="00BD7422" w:rsidP="00F5359D">
      <w:pPr>
        <w:jc w:val="center"/>
      </w:pPr>
    </w:p>
    <w:p w14:paraId="7D119780" w14:textId="77777777" w:rsidR="00BD7422" w:rsidRDefault="00BD7422" w:rsidP="00F5359D">
      <w:pPr>
        <w:jc w:val="center"/>
      </w:pPr>
    </w:p>
    <w:p w14:paraId="7A957B17" w14:textId="4C98A633" w:rsidR="00BD7422" w:rsidRPr="00F5359D" w:rsidRDefault="00BD7422" w:rsidP="00F5359D">
      <w:pPr>
        <w:pStyle w:val="Subtitle"/>
        <w:jc w:val="center"/>
        <w:rPr>
          <w:rFonts w:ascii="Verdana" w:hAnsi="Verdana" w:cs="Arial"/>
          <w:b/>
          <w:bCs/>
          <w:i/>
          <w:iCs/>
          <w:color w:val="652266" w:themeColor="accent1"/>
          <w:sz w:val="32"/>
          <w:szCs w:val="32"/>
        </w:rPr>
      </w:pPr>
      <w:r w:rsidRPr="00F5359D">
        <w:rPr>
          <w:rFonts w:ascii="Verdana" w:hAnsi="Verdana"/>
          <w:b/>
          <w:bCs/>
          <w:i/>
          <w:iCs/>
          <w:color w:val="652266" w:themeColor="accent1"/>
          <w:sz w:val="32"/>
          <w:szCs w:val="32"/>
          <w:lang w:val="en-US"/>
        </w:rPr>
        <w:t>A case study illustrating the value added to the 2022 Prevent X conference from consulting with Women with Disabilities’ Experts by Experience Advocates.</w:t>
      </w:r>
      <w:r w:rsidRPr="00F5359D">
        <w:rPr>
          <w:rFonts w:ascii="Arial" w:hAnsi="Arial" w:cs="Arial"/>
          <w:b/>
          <w:bCs/>
          <w:i/>
          <w:iCs/>
          <w:color w:val="652266" w:themeColor="accent1"/>
          <w:sz w:val="32"/>
          <w:szCs w:val="32"/>
        </w:rPr>
        <w:t>​</w:t>
      </w:r>
    </w:p>
    <w:p w14:paraId="172CC41E" w14:textId="77777777" w:rsidR="00BD7422" w:rsidRDefault="00BD7422" w:rsidP="00F5359D">
      <w:pPr>
        <w:spacing w:before="0" w:after="160"/>
        <w:rPr>
          <w:rFonts w:ascii="Arial" w:hAnsi="Arial" w:cs="Arial"/>
          <w:b/>
          <w:color w:val="652266"/>
          <w:sz w:val="36"/>
        </w:rPr>
      </w:pPr>
      <w:r>
        <w:rPr>
          <w:rFonts w:ascii="Arial" w:hAnsi="Arial" w:cs="Arial"/>
          <w:b/>
          <w:color w:val="652266"/>
          <w:sz w:val="36"/>
        </w:rPr>
        <w:br w:type="page"/>
      </w:r>
    </w:p>
    <w:p w14:paraId="08735BE2" w14:textId="5FC285E2" w:rsidR="002C4CD9" w:rsidRPr="00F5359D" w:rsidRDefault="00BD7422" w:rsidP="00F5359D">
      <w:pPr>
        <w:pStyle w:val="Heading1"/>
        <w:rPr>
          <w:rFonts w:cs="Arial"/>
        </w:rPr>
      </w:pPr>
      <w:r w:rsidRPr="00F5359D">
        <w:rPr>
          <w:rFonts w:ascii="Verdana" w:hAnsi="Verdana"/>
          <w:b/>
          <w:bCs/>
          <w:sz w:val="24"/>
          <w:szCs w:val="24"/>
        </w:rPr>
        <w:lastRenderedPageBreak/>
        <w:t>Experts by Experience Advocates</w:t>
      </w:r>
      <w:r w:rsidRPr="00F5359D">
        <w:rPr>
          <w:sz w:val="24"/>
          <w:szCs w:val="24"/>
        </w:rPr>
        <w:t xml:space="preserve"> </w:t>
      </w:r>
      <w:r w:rsidRPr="00F5359D">
        <w:rPr>
          <w:rFonts w:ascii="Arial" w:hAnsi="Arial" w:cs="Arial"/>
        </w:rPr>
        <w:t>​</w:t>
      </w:r>
    </w:p>
    <w:p w14:paraId="6FAB1D79" w14:textId="77777777" w:rsidR="00BD7422" w:rsidRPr="00F5359D" w:rsidRDefault="00BD7422" w:rsidP="00F5359D">
      <w:pPr>
        <w:pStyle w:val="NoSpacing"/>
        <w:spacing w:line="276" w:lineRule="auto"/>
      </w:pPr>
      <w:r w:rsidRPr="00F5359D">
        <w:t xml:space="preserve">The Experts by Experience Advocates are a group of women who, through their diverse experiences, have the knowledge and understanding to be experts in disability and inclusive practice. </w:t>
      </w:r>
      <w:r w:rsidRPr="00F5359D">
        <w:rPr>
          <w:rFonts w:ascii="Arial" w:hAnsi="Arial" w:cs="Arial"/>
        </w:rPr>
        <w:t>​</w:t>
      </w:r>
    </w:p>
    <w:p w14:paraId="4E0EF512" w14:textId="12B2F718" w:rsidR="00BD7422" w:rsidRPr="00F5359D" w:rsidRDefault="00BD7422" w:rsidP="00F5359D">
      <w:pPr>
        <w:pStyle w:val="NoSpacing"/>
        <w:spacing w:line="276" w:lineRule="auto"/>
        <w:rPr>
          <w:rFonts w:cs="Arial"/>
        </w:rPr>
      </w:pPr>
      <w:r w:rsidRPr="00F5359D">
        <w:t>Since the groups establishment in 2018, the Experts have consulted with a variety of organisations who sought advice and feedback on the accessibility of their projects, services and programs.</w:t>
      </w:r>
      <w:r w:rsidRPr="00F5359D">
        <w:rPr>
          <w:rFonts w:ascii="Arial" w:hAnsi="Arial" w:cs="Arial"/>
        </w:rPr>
        <w:t>​</w:t>
      </w:r>
    </w:p>
    <w:p w14:paraId="76BE041F" w14:textId="72B10023" w:rsidR="00F5359D" w:rsidRPr="00F5359D" w:rsidRDefault="00F5359D" w:rsidP="00F5359D">
      <w:pPr>
        <w:pStyle w:val="NoSpacing"/>
        <w:spacing w:line="276" w:lineRule="auto"/>
        <w:rPr>
          <w:rFonts w:cs="Arial"/>
        </w:rPr>
      </w:pPr>
    </w:p>
    <w:p w14:paraId="0B5F27B1" w14:textId="73A32ECB" w:rsidR="00F5359D" w:rsidRPr="00F5359D" w:rsidRDefault="00F5359D" w:rsidP="00F5359D">
      <w:pPr>
        <w:pStyle w:val="Heading1"/>
        <w:rPr>
          <w:rFonts w:ascii="Verdana" w:hAnsi="Verdana"/>
          <w:b/>
          <w:bCs/>
          <w:sz w:val="24"/>
          <w:szCs w:val="24"/>
        </w:rPr>
      </w:pPr>
      <w:r w:rsidRPr="00F5359D">
        <w:rPr>
          <w:rFonts w:ascii="Verdana" w:hAnsi="Verdana"/>
          <w:b/>
          <w:bCs/>
          <w:sz w:val="24"/>
          <w:szCs w:val="24"/>
        </w:rPr>
        <w:t xml:space="preserve">Overview </w:t>
      </w:r>
    </w:p>
    <w:p w14:paraId="6CA332CA" w14:textId="77777777" w:rsidR="00F5359D" w:rsidRPr="00F5359D" w:rsidRDefault="00F5359D" w:rsidP="00F5359D">
      <w:pPr>
        <w:pStyle w:val="NoSpacing"/>
        <w:spacing w:line="276" w:lineRule="auto"/>
      </w:pPr>
      <w:r w:rsidRPr="00F5359D">
        <w:t xml:space="preserve">In 2022, Safe and Equal partnered with Our Watch to deliver their PreventX conference nationally and wanted to ensure accessibility and inclusivity of women with disabilities. They approached WDV for a consultation. Safe and Equal is the peak body for specialist family violence services that provide support to victim survivors in Victoria. </w:t>
      </w:r>
      <w:r w:rsidRPr="00F5359D">
        <w:rPr>
          <w:rFonts w:ascii="Arial" w:hAnsi="Arial" w:cs="Arial"/>
        </w:rPr>
        <w:t>​</w:t>
      </w:r>
    </w:p>
    <w:p w14:paraId="09D4ECDD" w14:textId="77777777" w:rsidR="00F5359D" w:rsidRDefault="00F5359D" w:rsidP="00F5359D">
      <w:pPr>
        <w:pStyle w:val="NoSpacing"/>
        <w:spacing w:line="276" w:lineRule="auto"/>
      </w:pPr>
    </w:p>
    <w:p w14:paraId="2BC555F7" w14:textId="69B61873" w:rsidR="00F5359D" w:rsidRPr="00F5359D" w:rsidRDefault="00F5359D" w:rsidP="00F5359D">
      <w:pPr>
        <w:pStyle w:val="NoSpacing"/>
        <w:spacing w:line="276" w:lineRule="auto"/>
      </w:pPr>
      <w:r w:rsidRPr="00F5359D">
        <w:t>The purpose of the consultation was:</w:t>
      </w:r>
      <w:r w:rsidRPr="00F5359D">
        <w:rPr>
          <w:rFonts w:ascii="Arial" w:hAnsi="Arial" w:cs="Arial"/>
        </w:rPr>
        <w:t>​</w:t>
      </w:r>
    </w:p>
    <w:p w14:paraId="494C2056" w14:textId="77777777" w:rsidR="00F5359D" w:rsidRDefault="00F5359D" w:rsidP="00F5359D">
      <w:pPr>
        <w:pStyle w:val="NoSpacing"/>
        <w:spacing w:line="276" w:lineRule="auto"/>
      </w:pPr>
    </w:p>
    <w:p w14:paraId="2079563E" w14:textId="045AEECE" w:rsidR="00F5359D" w:rsidRPr="00F5359D" w:rsidRDefault="00F5359D" w:rsidP="00F5359D">
      <w:pPr>
        <w:pStyle w:val="NoSpacing"/>
        <w:numPr>
          <w:ilvl w:val="0"/>
          <w:numId w:val="5"/>
        </w:numPr>
        <w:spacing w:line="276" w:lineRule="auto"/>
      </w:pPr>
      <w:r w:rsidRPr="00F5359D">
        <w:t>For the group to provide their perspectives on the structure of the conference and the user experience of the online platform in terms of accessibility.</w:t>
      </w:r>
      <w:r w:rsidRPr="00F5359D">
        <w:rPr>
          <w:rFonts w:ascii="Arial" w:hAnsi="Arial" w:cs="Arial"/>
        </w:rPr>
        <w:t>​</w:t>
      </w:r>
    </w:p>
    <w:p w14:paraId="2F88161A" w14:textId="77777777" w:rsidR="00F5359D" w:rsidRPr="00F5359D" w:rsidRDefault="00F5359D" w:rsidP="00F5359D">
      <w:pPr>
        <w:pStyle w:val="NoSpacing"/>
        <w:spacing w:line="276" w:lineRule="auto"/>
        <w:ind w:left="720"/>
      </w:pPr>
    </w:p>
    <w:p w14:paraId="56470CF8" w14:textId="3495A044" w:rsidR="00F5359D" w:rsidRPr="00F5359D" w:rsidRDefault="00F5359D" w:rsidP="00F5359D">
      <w:pPr>
        <w:pStyle w:val="NoSpacing"/>
        <w:numPr>
          <w:ilvl w:val="0"/>
          <w:numId w:val="5"/>
        </w:numPr>
        <w:spacing w:line="276" w:lineRule="auto"/>
      </w:pPr>
      <w:r w:rsidRPr="00F5359D">
        <w:t xml:space="preserve">Draw upon the groups knowledge of primary prevention and understanding of the intersection of gender and disability to advise on the conference content, ensuring it contained a strong and consistent disability lens. </w:t>
      </w:r>
      <w:r w:rsidRPr="00F5359D">
        <w:rPr>
          <w:rFonts w:ascii="Arial" w:hAnsi="Arial" w:cs="Arial"/>
        </w:rPr>
        <w:t>​</w:t>
      </w:r>
    </w:p>
    <w:p w14:paraId="2EDC8CDB" w14:textId="77777777" w:rsidR="00BD7422" w:rsidRPr="00F5359D" w:rsidRDefault="00BD7422" w:rsidP="00F5359D">
      <w:pPr>
        <w:pStyle w:val="NoSpacing"/>
        <w:spacing w:line="276" w:lineRule="auto"/>
      </w:pPr>
    </w:p>
    <w:p w14:paraId="449709B1" w14:textId="04796F2F" w:rsidR="00BD7422" w:rsidRPr="00F5359D" w:rsidRDefault="00BD7422" w:rsidP="00F5359D">
      <w:pPr>
        <w:pStyle w:val="Quote"/>
        <w:rPr>
          <w:color w:val="652266" w:themeColor="accent1"/>
        </w:rPr>
      </w:pPr>
      <w:r w:rsidRPr="00F5359D">
        <w:rPr>
          <w:rFonts w:ascii="Arial" w:hAnsi="Arial"/>
          <w:color w:val="652266" w:themeColor="accent1"/>
        </w:rPr>
        <w:t>​</w:t>
      </w:r>
      <w:r w:rsidR="00F5359D" w:rsidRPr="00F5359D">
        <w:rPr>
          <w:color w:val="652266" w:themeColor="accent1"/>
        </w:rPr>
        <w:t xml:space="preserve">“I would absolutely encourage everybody to seek these types of consultations, … because </w:t>
      </w:r>
      <w:proofErr w:type="spellStart"/>
      <w:r w:rsidR="00F5359D" w:rsidRPr="00F5359D">
        <w:rPr>
          <w:color w:val="652266" w:themeColor="accent1"/>
        </w:rPr>
        <w:t>its</w:t>
      </w:r>
      <w:proofErr w:type="spellEnd"/>
      <w:r w:rsidR="00F5359D" w:rsidRPr="00F5359D">
        <w:rPr>
          <w:color w:val="652266" w:themeColor="accent1"/>
        </w:rPr>
        <w:t xml:space="preserve"> really a privilege and makes your own practice in whatever you do, whether it’s prevention or disability inclusion or another social service, it’s going to make your practice better in the long run. You can take those learnings with you and continue them throughout your work.</w:t>
      </w:r>
      <w:r w:rsidR="00F5359D" w:rsidRPr="00F5359D">
        <w:rPr>
          <w:rFonts w:ascii="Arial" w:hAnsi="Arial"/>
          <w:color w:val="652266" w:themeColor="accent1"/>
        </w:rPr>
        <w:t>​</w:t>
      </w:r>
      <w:r w:rsidR="00F5359D" w:rsidRPr="00F5359D">
        <w:rPr>
          <w:color w:val="652266" w:themeColor="accent1"/>
        </w:rPr>
        <w:t xml:space="preserve">” </w:t>
      </w:r>
    </w:p>
    <w:p w14:paraId="15D1B888" w14:textId="51EB955C" w:rsidR="00D87D6B" w:rsidRPr="00D87D6B" w:rsidRDefault="00F5359D" w:rsidP="00D87D6B">
      <w:pPr>
        <w:pStyle w:val="Quote"/>
        <w:rPr>
          <w:color w:val="652266" w:themeColor="accent1"/>
        </w:rPr>
      </w:pPr>
      <w:r w:rsidRPr="00F5359D">
        <w:rPr>
          <w:color w:val="652266" w:themeColor="accent1"/>
        </w:rPr>
        <w:t>Safe &amp; Equal staff member</w:t>
      </w:r>
    </w:p>
    <w:p w14:paraId="37A14B00" w14:textId="05B93068" w:rsidR="00F5359D" w:rsidRPr="00F5359D" w:rsidRDefault="00F5359D" w:rsidP="00F5359D">
      <w:pPr>
        <w:pStyle w:val="Heading1"/>
        <w:rPr>
          <w:rFonts w:ascii="Verdana" w:hAnsi="Verdana"/>
          <w:b/>
          <w:bCs/>
          <w:sz w:val="24"/>
          <w:szCs w:val="24"/>
        </w:rPr>
      </w:pPr>
      <w:r w:rsidRPr="00F5359D">
        <w:rPr>
          <w:rFonts w:ascii="Verdana" w:hAnsi="Verdana"/>
          <w:b/>
          <w:bCs/>
          <w:sz w:val="24"/>
          <w:szCs w:val="24"/>
        </w:rPr>
        <w:t xml:space="preserve">Consultation </w:t>
      </w:r>
    </w:p>
    <w:p w14:paraId="0AD30AFB" w14:textId="7CDB0083" w:rsidR="00F5359D" w:rsidRPr="00F5359D" w:rsidRDefault="00F5359D" w:rsidP="00F5359D">
      <w:pPr>
        <w:pStyle w:val="NoSpacing"/>
        <w:spacing w:line="276" w:lineRule="auto"/>
      </w:pPr>
      <w:r w:rsidRPr="00F5359D">
        <w:t xml:space="preserve">The Experts consulted on the practical ways Safe and Equal could implement accessibility and inclusion into the logistics of their conference. </w:t>
      </w:r>
      <w:r w:rsidRPr="00F5359D">
        <w:lastRenderedPageBreak/>
        <w:t>This involved understanding the nuances in lived experience of disability for improving access and inclusion in their event planning.</w:t>
      </w:r>
    </w:p>
    <w:p w14:paraId="78AFA875" w14:textId="05DE8EE9" w:rsidR="00F5359D" w:rsidRPr="00F5359D" w:rsidRDefault="00F5359D" w:rsidP="00F5359D">
      <w:pPr>
        <w:pStyle w:val="NoSpacing"/>
        <w:spacing w:line="276" w:lineRule="auto"/>
      </w:pPr>
    </w:p>
    <w:p w14:paraId="461D449B" w14:textId="47632D6D" w:rsidR="00F5359D" w:rsidRPr="00F5359D" w:rsidRDefault="00F5359D" w:rsidP="00F5359D">
      <w:pPr>
        <w:pStyle w:val="Heading1"/>
        <w:rPr>
          <w:rFonts w:ascii="Verdana" w:hAnsi="Verdana"/>
          <w:b/>
          <w:bCs/>
          <w:sz w:val="24"/>
          <w:szCs w:val="24"/>
        </w:rPr>
      </w:pPr>
      <w:r w:rsidRPr="00F5359D">
        <w:rPr>
          <w:rFonts w:ascii="Verdana" w:hAnsi="Verdana"/>
          <w:b/>
          <w:bCs/>
          <w:sz w:val="24"/>
          <w:szCs w:val="24"/>
        </w:rPr>
        <w:t>Closing the Loop</w:t>
      </w:r>
    </w:p>
    <w:p w14:paraId="42D28464" w14:textId="712CD780" w:rsidR="00F5359D" w:rsidRPr="00F5359D" w:rsidRDefault="00F5359D" w:rsidP="00F5359D">
      <w:pPr>
        <w:pStyle w:val="NoSpacing"/>
        <w:spacing w:line="276" w:lineRule="auto"/>
        <w:rPr>
          <w:rFonts w:cs="Arial"/>
        </w:rPr>
      </w:pPr>
      <w:r w:rsidRPr="00F5359D">
        <w:t>Safe and Equal returned for a follow up consultation and reported on the actions they took as a result of the initial consultation. The discussion allowed them to reflect on some of the event’s strengths and challenges.</w:t>
      </w:r>
      <w:r w:rsidRPr="00F5359D">
        <w:rPr>
          <w:rFonts w:ascii="Arial" w:hAnsi="Arial" w:cs="Arial"/>
        </w:rPr>
        <w:t>​</w:t>
      </w:r>
    </w:p>
    <w:p w14:paraId="60544AC0" w14:textId="1CC49CB7" w:rsidR="00F5359D" w:rsidRPr="00F5359D" w:rsidRDefault="00F5359D" w:rsidP="00F5359D">
      <w:pPr>
        <w:pStyle w:val="NoSpacing"/>
        <w:spacing w:line="276" w:lineRule="auto"/>
        <w:rPr>
          <w:rFonts w:cs="Arial"/>
        </w:rPr>
      </w:pPr>
    </w:p>
    <w:p w14:paraId="3DBCE0B6" w14:textId="06C8902F" w:rsidR="00F5359D" w:rsidRPr="00F5359D" w:rsidRDefault="00F5359D" w:rsidP="00F5359D">
      <w:pPr>
        <w:pStyle w:val="Heading1"/>
        <w:rPr>
          <w:rFonts w:ascii="Verdana" w:hAnsi="Verdana"/>
          <w:b/>
          <w:bCs/>
          <w:sz w:val="24"/>
          <w:szCs w:val="24"/>
        </w:rPr>
      </w:pPr>
      <w:r w:rsidRPr="00F5359D">
        <w:rPr>
          <w:rFonts w:ascii="Verdana" w:hAnsi="Verdana"/>
          <w:b/>
          <w:bCs/>
          <w:sz w:val="24"/>
          <w:szCs w:val="24"/>
        </w:rPr>
        <w:t xml:space="preserve">Outcomes </w:t>
      </w:r>
    </w:p>
    <w:p w14:paraId="57501691" w14:textId="0FC04F42" w:rsidR="00F5359D" w:rsidRPr="00F5359D" w:rsidRDefault="00F5359D" w:rsidP="00F5359D">
      <w:pPr>
        <w:pStyle w:val="NoSpacing"/>
        <w:spacing w:line="276" w:lineRule="auto"/>
        <w:rPr>
          <w:rFonts w:cs="Arial"/>
        </w:rPr>
      </w:pPr>
      <w:r w:rsidRPr="00F5359D">
        <w:t xml:space="preserve">Consultations with the Experts contributed to Safe and Equal hosting a successful Australia-wide conference with three hundred attendees. The organisers ensured the event was trauma-informed and inclusive of a variety of survivor advocates. As a result, organisers included a quiet room, increased number </w:t>
      </w:r>
      <w:r w:rsidR="00D87D6B" w:rsidRPr="00F5359D">
        <w:t>and frequency</w:t>
      </w:r>
      <w:r w:rsidRPr="00F5359D">
        <w:t xml:space="preserve"> of breaks, developed a plain English program and ensured screen reader accessibility. </w:t>
      </w:r>
      <w:r w:rsidRPr="00F5359D">
        <w:rPr>
          <w:rFonts w:ascii="Arial" w:hAnsi="Arial" w:cs="Arial"/>
        </w:rPr>
        <w:t>​</w:t>
      </w:r>
    </w:p>
    <w:p w14:paraId="076B2576" w14:textId="3488E314" w:rsidR="00F5359D" w:rsidRPr="00F5359D" w:rsidRDefault="00F5359D" w:rsidP="00F5359D">
      <w:pPr>
        <w:pStyle w:val="NoSpacing"/>
        <w:spacing w:line="276" w:lineRule="auto"/>
        <w:rPr>
          <w:rFonts w:cs="Arial"/>
        </w:rPr>
      </w:pPr>
    </w:p>
    <w:p w14:paraId="027C4D7C" w14:textId="42FEA7B9" w:rsidR="00F5359D" w:rsidRPr="00F5359D" w:rsidRDefault="00F5359D" w:rsidP="00F5359D">
      <w:pPr>
        <w:pStyle w:val="Heading1"/>
        <w:rPr>
          <w:rFonts w:ascii="Verdana" w:hAnsi="Verdana"/>
          <w:b/>
          <w:bCs/>
          <w:sz w:val="24"/>
          <w:szCs w:val="24"/>
        </w:rPr>
      </w:pPr>
      <w:r w:rsidRPr="00F5359D">
        <w:rPr>
          <w:rFonts w:ascii="Verdana" w:hAnsi="Verdana"/>
          <w:b/>
          <w:bCs/>
          <w:sz w:val="24"/>
          <w:szCs w:val="24"/>
        </w:rPr>
        <w:t xml:space="preserve">Future impact </w:t>
      </w:r>
    </w:p>
    <w:p w14:paraId="3E752E3D" w14:textId="3A95E4CB" w:rsidR="00F5359D" w:rsidRPr="00F5359D" w:rsidRDefault="00F5359D" w:rsidP="00F5359D">
      <w:pPr>
        <w:pStyle w:val="NoSpacing"/>
        <w:spacing w:line="276" w:lineRule="auto"/>
        <w:rPr>
          <w:rFonts w:cs="Arial"/>
        </w:rPr>
      </w:pPr>
      <w:r w:rsidRPr="00F5359D">
        <w:t>Safe and Equal aims to consult with the group earlier in the planning process for the 2024 PreventX conference. We anticipate that the next conference continues to include women with disabilities in leadership roles and positions of power as this is imperative to preventing violence against women with disabilities and driving best practice.</w:t>
      </w:r>
      <w:r w:rsidRPr="00F5359D">
        <w:rPr>
          <w:rFonts w:ascii="Arial" w:hAnsi="Arial" w:cs="Arial"/>
        </w:rPr>
        <w:t>​</w:t>
      </w:r>
    </w:p>
    <w:p w14:paraId="237700B6" w14:textId="27630C1A" w:rsidR="00F5359D" w:rsidRPr="00F5359D" w:rsidRDefault="00F5359D" w:rsidP="00F5359D">
      <w:pPr>
        <w:pStyle w:val="NoSpacing"/>
        <w:spacing w:line="276" w:lineRule="auto"/>
        <w:rPr>
          <w:rFonts w:cs="Arial"/>
        </w:rPr>
      </w:pPr>
    </w:p>
    <w:p w14:paraId="1DD40DF3" w14:textId="5DD800CD" w:rsidR="00F5359D" w:rsidRPr="00F5359D" w:rsidRDefault="00F5359D" w:rsidP="00F5359D">
      <w:pPr>
        <w:pStyle w:val="Quote"/>
        <w:rPr>
          <w:color w:val="652266" w:themeColor="accent1"/>
        </w:rPr>
      </w:pPr>
      <w:r w:rsidRPr="00F5359D">
        <w:rPr>
          <w:color w:val="652266" w:themeColor="accent1"/>
        </w:rPr>
        <w:t>“The group were absolutely fantastic and had so many practical suggestions for how we can improve the accessibility of PreventX.”</w:t>
      </w:r>
    </w:p>
    <w:p w14:paraId="42A3B00F" w14:textId="765428CB" w:rsidR="00F5359D" w:rsidRPr="00F5359D" w:rsidRDefault="00F5359D" w:rsidP="00F5359D">
      <w:pPr>
        <w:pStyle w:val="Quote"/>
        <w:rPr>
          <w:color w:val="652266" w:themeColor="accent1"/>
        </w:rPr>
      </w:pPr>
      <w:r w:rsidRPr="00F5359D">
        <w:rPr>
          <w:color w:val="652266" w:themeColor="accent1"/>
        </w:rPr>
        <w:t>Safe &amp; Equal staff member</w:t>
      </w:r>
    </w:p>
    <w:p w14:paraId="0CC6ED72" w14:textId="468FE197" w:rsidR="00F5359D" w:rsidRPr="00F5359D" w:rsidRDefault="00F5359D" w:rsidP="00F5359D">
      <w:pPr>
        <w:pStyle w:val="NoSpacing"/>
        <w:spacing w:line="276" w:lineRule="auto"/>
      </w:pPr>
    </w:p>
    <w:p w14:paraId="20B29988" w14:textId="18F42016" w:rsidR="00F5359D" w:rsidRPr="00F5359D" w:rsidRDefault="00F5359D" w:rsidP="00F5359D">
      <w:pPr>
        <w:pStyle w:val="NoSpacing"/>
        <w:spacing w:line="276" w:lineRule="auto"/>
      </w:pPr>
      <w:r w:rsidRPr="00F5359D">
        <w:t>If you or your organisation is interested in learning more about consulting our Experts, please contact</w:t>
      </w:r>
      <w:r>
        <w:t>:</w:t>
      </w:r>
      <w:r w:rsidRPr="00F5359D">
        <w:rPr>
          <w:rFonts w:ascii="Arial" w:hAnsi="Arial" w:cs="Arial"/>
        </w:rPr>
        <w:t>​</w:t>
      </w:r>
    </w:p>
    <w:p w14:paraId="03E5E65B" w14:textId="77777777" w:rsidR="00F5359D" w:rsidRDefault="00F5359D" w:rsidP="00F5359D">
      <w:pPr>
        <w:pStyle w:val="NoSpacing"/>
        <w:spacing w:line="276" w:lineRule="auto"/>
      </w:pPr>
    </w:p>
    <w:p w14:paraId="57F4F6B5" w14:textId="3D7D1D9D" w:rsidR="00F5359D" w:rsidRPr="00F5359D" w:rsidRDefault="00F5359D" w:rsidP="00F5359D">
      <w:pPr>
        <w:pStyle w:val="NoSpacing"/>
        <w:spacing w:line="276" w:lineRule="auto"/>
        <w:rPr>
          <w:b/>
          <w:bCs/>
          <w:color w:val="652266" w:themeColor="accent1"/>
        </w:rPr>
      </w:pPr>
      <w:r w:rsidRPr="00F5359D">
        <w:rPr>
          <w:b/>
          <w:bCs/>
          <w:color w:val="652266" w:themeColor="accent1"/>
        </w:rPr>
        <w:t xml:space="preserve">Tess Karambelas </w:t>
      </w:r>
      <w:r w:rsidRPr="00F5359D">
        <w:rPr>
          <w:rFonts w:ascii="Arial" w:hAnsi="Arial" w:cs="Arial"/>
          <w:b/>
          <w:bCs/>
          <w:color w:val="652266" w:themeColor="accent1"/>
        </w:rPr>
        <w:t>​</w:t>
      </w:r>
    </w:p>
    <w:p w14:paraId="531118A7" w14:textId="77777777" w:rsidR="00D87D6B" w:rsidRDefault="00F5359D" w:rsidP="00F5359D">
      <w:pPr>
        <w:pStyle w:val="NoSpacing"/>
        <w:spacing w:line="276" w:lineRule="auto"/>
      </w:pPr>
      <w:r w:rsidRPr="00F5359D">
        <w:t>Gender and Disability</w:t>
      </w:r>
      <w:r>
        <w:t xml:space="preserve"> </w:t>
      </w:r>
      <w:r w:rsidRPr="00F5359D">
        <w:t>Project Officer</w:t>
      </w:r>
      <w:r w:rsidRPr="00F5359D">
        <w:rPr>
          <w:rFonts w:ascii="Arial" w:hAnsi="Arial" w:cs="Arial"/>
        </w:rPr>
        <w:t>​</w:t>
      </w:r>
    </w:p>
    <w:p w14:paraId="56C83505" w14:textId="1F13BB9C" w:rsidR="00F5359D" w:rsidRPr="00F5359D" w:rsidRDefault="00F5359D" w:rsidP="00F5359D">
      <w:pPr>
        <w:pStyle w:val="NoSpacing"/>
        <w:spacing w:line="276" w:lineRule="auto"/>
      </w:pPr>
      <w:r w:rsidRPr="00F5359D">
        <w:t xml:space="preserve">(03) 9286 7812 </w:t>
      </w:r>
      <w:r w:rsidRPr="00F5359D">
        <w:rPr>
          <w:rFonts w:ascii="Arial" w:hAnsi="Arial" w:cs="Arial"/>
        </w:rPr>
        <w:t>​</w:t>
      </w:r>
    </w:p>
    <w:p w14:paraId="18CE3A05" w14:textId="2376FD21" w:rsidR="00F5359D" w:rsidRDefault="00F5359D" w:rsidP="00F5359D">
      <w:pPr>
        <w:pStyle w:val="NoSpacing"/>
        <w:spacing w:line="276" w:lineRule="auto"/>
      </w:pPr>
      <w:r w:rsidRPr="00F5359D">
        <w:t>tess.karambelas@wdv.org.au</w:t>
      </w:r>
      <w:r w:rsidRPr="00F5359D">
        <w:rPr>
          <w:rFonts w:ascii="Arial" w:hAnsi="Arial" w:cs="Arial"/>
        </w:rPr>
        <w:t>​</w:t>
      </w:r>
      <w:r>
        <w:t xml:space="preserve"> </w:t>
      </w:r>
      <w:r>
        <w:rPr>
          <w:rFonts w:ascii="Arial" w:hAnsi="Arial" w:cs="Arial"/>
        </w:rPr>
        <w:t>​</w:t>
      </w:r>
    </w:p>
    <w:sectPr w:rsidR="00F5359D" w:rsidSect="00BD7422">
      <w:footerReference w:type="default" r:id="rId10"/>
      <w:headerReference w:type="first" r:id="rId11"/>
      <w:footerReference w:type="first" r:id="rId1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E57E2" w14:textId="77777777" w:rsidR="00BD7422" w:rsidRDefault="00BD7422" w:rsidP="00BD7422">
      <w:pPr>
        <w:spacing w:before="0" w:after="0" w:line="240" w:lineRule="auto"/>
      </w:pPr>
      <w:r>
        <w:separator/>
      </w:r>
    </w:p>
  </w:endnote>
  <w:endnote w:type="continuationSeparator" w:id="0">
    <w:p w14:paraId="52F3B67E" w14:textId="77777777" w:rsidR="00BD7422" w:rsidRDefault="00BD7422" w:rsidP="00BD74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184030"/>
      <w:docPartObj>
        <w:docPartGallery w:val="Page Numbers (Bottom of Page)"/>
        <w:docPartUnique/>
      </w:docPartObj>
    </w:sdtPr>
    <w:sdtEndPr>
      <w:rPr>
        <w:noProof/>
      </w:rPr>
    </w:sdtEndPr>
    <w:sdtContent>
      <w:p w14:paraId="4AD14CAE" w14:textId="74E98F3B" w:rsidR="00BD7422" w:rsidRDefault="00BD74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DD7446" w14:textId="77777777" w:rsidR="00BD7422" w:rsidRDefault="00BD7422" w:rsidP="00BD7422">
    <w:pPr>
      <w:pStyle w:val="Footer"/>
    </w:pPr>
    <w:r>
      <w:t xml:space="preserve">Prevent X Case Study </w:t>
    </w:r>
  </w:p>
  <w:p w14:paraId="33A7C516" w14:textId="1AC25CA0" w:rsidR="00BD7422" w:rsidRDefault="00BD7422" w:rsidP="00BD7422">
    <w:pPr>
      <w:pStyle w:val="Footer"/>
    </w:pPr>
    <w:r>
      <w:t>© Women with Disabilities Victoria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B52C" w14:textId="7E980F8E" w:rsidR="00BD7422" w:rsidRDefault="00BD7422">
    <w:pPr>
      <w:pStyle w:val="Footer"/>
    </w:pPr>
    <w:r>
      <w:rPr>
        <w:noProof/>
        <w:lang w:eastAsia="en-AU"/>
      </w:rPr>
      <w:drawing>
        <wp:anchor distT="0" distB="0" distL="114300" distR="114300" simplePos="0" relativeHeight="251660288" behindDoc="1" locked="0" layoutInCell="1" allowOverlap="1" wp14:anchorId="1A950BE8" wp14:editId="2A99B240">
          <wp:simplePos x="0" y="0"/>
          <wp:positionH relativeFrom="page">
            <wp:align>left</wp:align>
          </wp:positionH>
          <wp:positionV relativeFrom="paragraph">
            <wp:posOffset>247650</wp:posOffset>
          </wp:positionV>
          <wp:extent cx="7775575" cy="443865"/>
          <wp:effectExtent l="0" t="0" r="0" b="0"/>
          <wp:wrapNone/>
          <wp:docPr id="48" name="Picture 48" descr="Decorative ele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element">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575" cy="44386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FC48" w14:textId="77777777" w:rsidR="00BD7422" w:rsidRDefault="00BD7422" w:rsidP="00BD7422">
      <w:pPr>
        <w:spacing w:before="0" w:after="0" w:line="240" w:lineRule="auto"/>
      </w:pPr>
      <w:r>
        <w:separator/>
      </w:r>
    </w:p>
  </w:footnote>
  <w:footnote w:type="continuationSeparator" w:id="0">
    <w:p w14:paraId="6C98EA8D" w14:textId="77777777" w:rsidR="00BD7422" w:rsidRDefault="00BD7422" w:rsidP="00BD742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6AD5" w14:textId="727F86F0" w:rsidR="00BD7422" w:rsidRDefault="00BD7422">
    <w:pPr>
      <w:pStyle w:val="Header"/>
    </w:pPr>
    <w:r>
      <w:rPr>
        <w:noProof/>
      </w:rPr>
      <w:drawing>
        <wp:anchor distT="0" distB="0" distL="114300" distR="114300" simplePos="0" relativeHeight="251661312" behindDoc="0" locked="0" layoutInCell="1" allowOverlap="1" wp14:anchorId="4D786CB4" wp14:editId="2A6AE2D0">
          <wp:simplePos x="0" y="0"/>
          <wp:positionH relativeFrom="margin">
            <wp:align>right</wp:align>
          </wp:positionH>
          <wp:positionV relativeFrom="paragraph">
            <wp:posOffset>-20955</wp:posOffset>
          </wp:positionV>
          <wp:extent cx="3907790" cy="676910"/>
          <wp:effectExtent l="0" t="0" r="0"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7790" cy="6769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D082D"/>
    <w:multiLevelType w:val="hybridMultilevel"/>
    <w:tmpl w:val="98D82154"/>
    <w:lvl w:ilvl="0" w:tplc="87821A26">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CA4E6E"/>
    <w:multiLevelType w:val="hybridMultilevel"/>
    <w:tmpl w:val="68C82AF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03D4827"/>
    <w:multiLevelType w:val="hybridMultilevel"/>
    <w:tmpl w:val="65D4DB70"/>
    <w:lvl w:ilvl="0" w:tplc="87821A26">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9A2BEB"/>
    <w:multiLevelType w:val="hybridMultilevel"/>
    <w:tmpl w:val="681EB5EE"/>
    <w:lvl w:ilvl="0" w:tplc="F8E2AE48">
      <w:start w:val="1"/>
      <w:numFmt w:val="bullet"/>
      <w:pStyle w:val="ListParagraph"/>
      <w:lvlText w:val=""/>
      <w:lvlJc w:val="left"/>
      <w:pPr>
        <w:ind w:left="360" w:hanging="360"/>
      </w:pPr>
      <w:rPr>
        <w:rFonts w:ascii="Symbol" w:hAnsi="Symbol" w:hint="default"/>
      </w:rPr>
    </w:lvl>
    <w:lvl w:ilvl="1" w:tplc="AFB6858A">
      <w:start w:val="1"/>
      <w:numFmt w:val="bullet"/>
      <w:pStyle w:val="ListBullet2"/>
      <w:lvlText w:val="o"/>
      <w:lvlJc w:val="left"/>
      <w:pPr>
        <w:ind w:left="786" w:hanging="360"/>
      </w:pPr>
      <w:rPr>
        <w:rFonts w:ascii="Courier New" w:hAnsi="Courier New" w:cs="Courier New" w:hint="default"/>
      </w:rPr>
    </w:lvl>
    <w:lvl w:ilvl="2" w:tplc="A9942B2A">
      <w:start w:val="1"/>
      <w:numFmt w:val="bullet"/>
      <w:pStyle w:val="ListBullet3"/>
      <w:lvlText w:val=""/>
      <w:lvlJc w:val="left"/>
      <w:pPr>
        <w:ind w:left="1495"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7586733"/>
    <w:multiLevelType w:val="hybridMultilevel"/>
    <w:tmpl w:val="D1787164"/>
    <w:lvl w:ilvl="0" w:tplc="B29692C4">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389251">
    <w:abstractNumId w:val="3"/>
  </w:num>
  <w:num w:numId="2" w16cid:durableId="1119179289">
    <w:abstractNumId w:val="4"/>
  </w:num>
  <w:num w:numId="3" w16cid:durableId="705176529">
    <w:abstractNumId w:val="2"/>
  </w:num>
  <w:num w:numId="4" w16cid:durableId="2020427404">
    <w:abstractNumId w:val="0"/>
  </w:num>
  <w:num w:numId="5" w16cid:durableId="381249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422"/>
    <w:rsid w:val="00171AD9"/>
    <w:rsid w:val="002C4CD9"/>
    <w:rsid w:val="00927C02"/>
    <w:rsid w:val="00BD7422"/>
    <w:rsid w:val="00D87D6B"/>
    <w:rsid w:val="00F53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374814"/>
  <w15:chartTrackingRefBased/>
  <w15:docId w15:val="{056CF6B4-DB06-4DFA-9723-C1132C54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422"/>
    <w:pPr>
      <w:spacing w:before="120" w:after="120" w:line="276" w:lineRule="auto"/>
    </w:pPr>
    <w:rPr>
      <w:rFonts w:ascii="Verdana" w:hAnsi="Verdana"/>
      <w:sz w:val="24"/>
    </w:rPr>
  </w:style>
  <w:style w:type="paragraph" w:styleId="Heading1">
    <w:name w:val="heading 1"/>
    <w:basedOn w:val="Normal"/>
    <w:next w:val="Normal"/>
    <w:link w:val="Heading1Char"/>
    <w:uiPriority w:val="9"/>
    <w:qFormat/>
    <w:rsid w:val="00F5359D"/>
    <w:pPr>
      <w:keepNext/>
      <w:keepLines/>
      <w:spacing w:before="240" w:after="0"/>
      <w:outlineLvl w:val="0"/>
    </w:pPr>
    <w:rPr>
      <w:rFonts w:asciiTheme="majorHAnsi" w:eastAsiaTheme="majorEastAsia" w:hAnsiTheme="majorHAnsi" w:cstheme="majorBidi"/>
      <w:color w:val="4B194C"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422"/>
  </w:style>
  <w:style w:type="paragraph" w:styleId="Footer">
    <w:name w:val="footer"/>
    <w:basedOn w:val="Normal"/>
    <w:link w:val="FooterChar"/>
    <w:uiPriority w:val="99"/>
    <w:unhideWhenUsed/>
    <w:rsid w:val="00BD7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422"/>
  </w:style>
  <w:style w:type="paragraph" w:styleId="ListParagraph">
    <w:name w:val="List Paragraph"/>
    <w:basedOn w:val="Normal"/>
    <w:uiPriority w:val="2"/>
    <w:qFormat/>
    <w:rsid w:val="00BD7422"/>
    <w:pPr>
      <w:numPr>
        <w:numId w:val="1"/>
      </w:numPr>
      <w:ind w:left="714" w:hanging="357"/>
    </w:pPr>
  </w:style>
  <w:style w:type="paragraph" w:styleId="ListBullet2">
    <w:name w:val="List Bullet 2"/>
    <w:basedOn w:val="ListParagraph"/>
    <w:uiPriority w:val="99"/>
    <w:unhideWhenUsed/>
    <w:rsid w:val="00BD7422"/>
    <w:pPr>
      <w:numPr>
        <w:ilvl w:val="1"/>
      </w:numPr>
      <w:ind w:left="714" w:hanging="357"/>
    </w:pPr>
  </w:style>
  <w:style w:type="paragraph" w:styleId="ListBullet3">
    <w:name w:val="List Bullet 3"/>
    <w:basedOn w:val="ListParagraph"/>
    <w:uiPriority w:val="99"/>
    <w:unhideWhenUsed/>
    <w:rsid w:val="00BD7422"/>
    <w:pPr>
      <w:numPr>
        <w:ilvl w:val="2"/>
      </w:numPr>
      <w:ind w:left="1077" w:hanging="357"/>
    </w:pPr>
  </w:style>
  <w:style w:type="paragraph" w:styleId="NoSpacing">
    <w:name w:val="No Spacing"/>
    <w:uiPriority w:val="1"/>
    <w:qFormat/>
    <w:rsid w:val="00F5359D"/>
    <w:pPr>
      <w:spacing w:after="0" w:line="240" w:lineRule="auto"/>
    </w:pPr>
    <w:rPr>
      <w:rFonts w:ascii="Verdana" w:hAnsi="Verdana"/>
      <w:sz w:val="24"/>
    </w:rPr>
  </w:style>
  <w:style w:type="character" w:customStyle="1" w:styleId="Heading1Char">
    <w:name w:val="Heading 1 Char"/>
    <w:basedOn w:val="DefaultParagraphFont"/>
    <w:link w:val="Heading1"/>
    <w:uiPriority w:val="9"/>
    <w:rsid w:val="00F5359D"/>
    <w:rPr>
      <w:rFonts w:asciiTheme="majorHAnsi" w:eastAsiaTheme="majorEastAsia" w:hAnsiTheme="majorHAnsi" w:cstheme="majorBidi"/>
      <w:color w:val="4B194C" w:themeColor="accent1" w:themeShade="BF"/>
      <w:sz w:val="32"/>
      <w:szCs w:val="32"/>
    </w:rPr>
  </w:style>
  <w:style w:type="paragraph" w:styleId="Quote">
    <w:name w:val="Quote"/>
    <w:basedOn w:val="Normal"/>
    <w:next w:val="Normal"/>
    <w:link w:val="QuoteChar"/>
    <w:uiPriority w:val="29"/>
    <w:qFormat/>
    <w:rsid w:val="00F535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5359D"/>
    <w:rPr>
      <w:rFonts w:ascii="Verdana" w:hAnsi="Verdana"/>
      <w:i/>
      <w:iCs/>
      <w:color w:val="404040" w:themeColor="text1" w:themeTint="BF"/>
      <w:sz w:val="24"/>
    </w:rPr>
  </w:style>
  <w:style w:type="paragraph" w:styleId="Title">
    <w:name w:val="Title"/>
    <w:basedOn w:val="Normal"/>
    <w:next w:val="Normal"/>
    <w:link w:val="TitleChar"/>
    <w:uiPriority w:val="10"/>
    <w:qFormat/>
    <w:rsid w:val="00F5359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5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59D"/>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F5359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85626">
      <w:bodyDiv w:val="1"/>
      <w:marLeft w:val="0"/>
      <w:marRight w:val="0"/>
      <w:marTop w:val="0"/>
      <w:marBottom w:val="0"/>
      <w:divBdr>
        <w:top w:val="none" w:sz="0" w:space="0" w:color="auto"/>
        <w:left w:val="none" w:sz="0" w:space="0" w:color="auto"/>
        <w:bottom w:val="none" w:sz="0" w:space="0" w:color="auto"/>
        <w:right w:val="none" w:sz="0" w:space="0" w:color="auto"/>
      </w:divBdr>
      <w:divsChild>
        <w:div w:id="2008634663">
          <w:marLeft w:val="0"/>
          <w:marRight w:val="0"/>
          <w:marTop w:val="0"/>
          <w:marBottom w:val="0"/>
          <w:divBdr>
            <w:top w:val="none" w:sz="0" w:space="0" w:color="auto"/>
            <w:left w:val="none" w:sz="0" w:space="0" w:color="auto"/>
            <w:bottom w:val="none" w:sz="0" w:space="0" w:color="auto"/>
            <w:right w:val="none" w:sz="0" w:space="0" w:color="auto"/>
          </w:divBdr>
        </w:div>
        <w:div w:id="1322391854">
          <w:marLeft w:val="0"/>
          <w:marRight w:val="0"/>
          <w:marTop w:val="0"/>
          <w:marBottom w:val="0"/>
          <w:divBdr>
            <w:top w:val="none" w:sz="0" w:space="0" w:color="auto"/>
            <w:left w:val="none" w:sz="0" w:space="0" w:color="auto"/>
            <w:bottom w:val="none" w:sz="0" w:space="0" w:color="auto"/>
            <w:right w:val="none" w:sz="0" w:space="0" w:color="auto"/>
          </w:divBdr>
        </w:div>
        <w:div w:id="2036272636">
          <w:marLeft w:val="0"/>
          <w:marRight w:val="0"/>
          <w:marTop w:val="0"/>
          <w:marBottom w:val="0"/>
          <w:divBdr>
            <w:top w:val="none" w:sz="0" w:space="0" w:color="auto"/>
            <w:left w:val="none" w:sz="0" w:space="0" w:color="auto"/>
            <w:bottom w:val="none" w:sz="0" w:space="0" w:color="auto"/>
            <w:right w:val="none" w:sz="0" w:space="0" w:color="auto"/>
          </w:divBdr>
        </w:div>
        <w:div w:id="137647624">
          <w:marLeft w:val="0"/>
          <w:marRight w:val="0"/>
          <w:marTop w:val="0"/>
          <w:marBottom w:val="0"/>
          <w:divBdr>
            <w:top w:val="none" w:sz="0" w:space="0" w:color="auto"/>
            <w:left w:val="none" w:sz="0" w:space="0" w:color="auto"/>
            <w:bottom w:val="none" w:sz="0" w:space="0" w:color="auto"/>
            <w:right w:val="none" w:sz="0" w:space="0" w:color="auto"/>
          </w:divBdr>
        </w:div>
      </w:divsChild>
    </w:div>
    <w:div w:id="161035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DV">
      <a:dk1>
        <a:sysClr val="windowText" lastClr="000000"/>
      </a:dk1>
      <a:lt1>
        <a:sysClr val="window" lastClr="FFFFFF"/>
      </a:lt1>
      <a:dk2>
        <a:srgbClr val="44546A"/>
      </a:dk2>
      <a:lt2>
        <a:srgbClr val="E7E6E6"/>
      </a:lt2>
      <a:accent1>
        <a:srgbClr val="652266"/>
      </a:accent1>
      <a:accent2>
        <a:srgbClr val="A9218E"/>
      </a:accent2>
      <a:accent3>
        <a:srgbClr val="D97B1A"/>
      </a:accent3>
      <a:accent4>
        <a:srgbClr val="D8C8D7"/>
      </a:accent4>
      <a:accent5>
        <a:srgbClr val="EBC4B1"/>
      </a:accent5>
      <a:accent6>
        <a:srgbClr val="FFF7E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95098EE85234C93251F39AB57E2B8" ma:contentTypeVersion="16" ma:contentTypeDescription="Create a new document." ma:contentTypeScope="" ma:versionID="1c4eb0c5ba1b32d38b6e947575f15e7f">
  <xsd:schema xmlns:xsd="http://www.w3.org/2001/XMLSchema" xmlns:xs="http://www.w3.org/2001/XMLSchema" xmlns:p="http://schemas.microsoft.com/office/2006/metadata/properties" xmlns:ns2="76d0e804-d45e-4bc1-b9bf-a89487ea8d9d" xmlns:ns3="3c0bf09d-fe60-469a-bcfc-dfe7d875677d" targetNamespace="http://schemas.microsoft.com/office/2006/metadata/properties" ma:root="true" ma:fieldsID="f404ff200e3084505ea6a3b942d07b21" ns2:_="" ns3:_="">
    <xsd:import namespace="76d0e804-d45e-4bc1-b9bf-a89487ea8d9d"/>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Posting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0e804-d45e-4bc1-b9bf-a89487ea8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Postingorder" ma:index="23" nillable="true" ma:displayName="Posting order " ma:format="Dropdown" ma:internalName="Posting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efe839-8af9-45c0-818a-d4efa17ad7e0}" ma:internalName="TaxCatchAll" ma:showField="CatchAllData" ma:web="3c0bf09d-fe60-469a-bcfc-dfe7d8756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d0e804-d45e-4bc1-b9bf-a89487ea8d9d">
      <Terms xmlns="http://schemas.microsoft.com/office/infopath/2007/PartnerControls"/>
    </lcf76f155ced4ddcb4097134ff3c332f>
    <TaxCatchAll xmlns="3c0bf09d-fe60-469a-bcfc-dfe7d875677d" xsi:nil="true"/>
    <Postingorder xmlns="76d0e804-d45e-4bc1-b9bf-a89487ea8d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4CB5A4-7B00-48D6-881B-F504807EB867}"/>
</file>

<file path=customXml/itemProps2.xml><?xml version="1.0" encoding="utf-8"?>
<ds:datastoreItem xmlns:ds="http://schemas.openxmlformats.org/officeDocument/2006/customXml" ds:itemID="{EDEBB8F7-68E3-40B9-B74D-02951C8CA935}">
  <ds:schemaRefs>
    <ds:schemaRef ds:uri="http://schemas.microsoft.com/office/2006/metadata/properties"/>
    <ds:schemaRef ds:uri="http://schemas.microsoft.com/office/infopath/2007/PartnerControls"/>
    <ds:schemaRef ds:uri="76d0e804-d45e-4bc1-b9bf-a89487ea8d9d"/>
    <ds:schemaRef ds:uri="3c0bf09d-fe60-469a-bcfc-dfe7d875677d"/>
  </ds:schemaRefs>
</ds:datastoreItem>
</file>

<file path=customXml/itemProps3.xml><?xml version="1.0" encoding="utf-8"?>
<ds:datastoreItem xmlns:ds="http://schemas.openxmlformats.org/officeDocument/2006/customXml" ds:itemID="{21D9F009-9E56-4177-A5FA-444FEEE84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Sayer</dc:creator>
  <cp:keywords/>
  <dc:description/>
  <cp:lastModifiedBy>Stephanie Sayer</cp:lastModifiedBy>
  <cp:revision>3</cp:revision>
  <dcterms:created xsi:type="dcterms:W3CDTF">2023-03-07T03:22:00Z</dcterms:created>
  <dcterms:modified xsi:type="dcterms:W3CDTF">2023-05-03T05:49:00Z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0x0101005C395098EE85234C93251F39AB57E2B8</vt:lpwstr>
  </property>
  <property fmtid="{D5CDD505-2E9C-101B-9397-08002B2CF9AE}" pid="3" name="MediaServiceImageTags">
    <vt:lpwstr/>
  </property>
</Properties>
</file>