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7991" w14:textId="181711DF" w:rsidR="00E1428B" w:rsidRDefault="00D81B2A">
      <w:pPr>
        <w:rPr>
          <w:rFonts w:ascii="Verdana" w:hAnsi="Verdana"/>
          <w:sz w:val="36"/>
          <w:szCs w:val="36"/>
          <w:lang w:val="en-US"/>
        </w:rPr>
      </w:pPr>
      <w:r>
        <w:rPr>
          <w:rFonts w:ascii="Verdana" w:hAnsi="Verdana"/>
          <w:sz w:val="36"/>
          <w:szCs w:val="36"/>
          <w:lang w:val="en-US"/>
        </w:rPr>
        <w:t>Facts</w:t>
      </w:r>
      <w:r w:rsidR="00D428B0">
        <w:rPr>
          <w:rFonts w:ascii="Verdana" w:hAnsi="Verdana"/>
          <w:sz w:val="36"/>
          <w:szCs w:val="36"/>
          <w:lang w:val="en-US"/>
        </w:rPr>
        <w:t xml:space="preserve"> on Sexual and Reproductive Health for Women with Disabilities</w:t>
      </w:r>
    </w:p>
    <w:p w14:paraId="7792C2D3" w14:textId="4084DD5C" w:rsidR="00D428B0" w:rsidRPr="00AD3A5B" w:rsidRDefault="00D428B0" w:rsidP="00AD3A5B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D3A5B">
        <w:rPr>
          <w:rFonts w:ascii="Verdana" w:hAnsi="Verdana"/>
          <w:sz w:val="24"/>
          <w:szCs w:val="24"/>
          <w:lang w:val="en-US"/>
        </w:rPr>
        <w:t>Why are we focusing on women with disabilities (WWD)?</w:t>
      </w:r>
    </w:p>
    <w:p w14:paraId="4959BC30" w14:textId="18BE0A03" w:rsidR="00D428B0" w:rsidRPr="00AD3A5B" w:rsidRDefault="00D428B0" w:rsidP="00AD3A5B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D3A5B">
        <w:rPr>
          <w:rFonts w:ascii="Verdana" w:hAnsi="Verdana"/>
          <w:sz w:val="24"/>
          <w:szCs w:val="24"/>
          <w:lang w:val="en-US"/>
        </w:rPr>
        <w:t>The poorer sexual and reproductive health (SRH) outcomes for women with disabilities are from the direct result of discri</w:t>
      </w:r>
      <w:r w:rsidR="00495F91" w:rsidRPr="00AD3A5B">
        <w:rPr>
          <w:rFonts w:ascii="Verdana" w:hAnsi="Verdana"/>
          <w:sz w:val="24"/>
          <w:szCs w:val="24"/>
          <w:lang w:val="en-US"/>
        </w:rPr>
        <w:t>mination and ableism.</w:t>
      </w:r>
    </w:p>
    <w:p w14:paraId="1633112D" w14:textId="77777777" w:rsidR="00495F91" w:rsidRPr="00AD3A5B" w:rsidRDefault="00495F91" w:rsidP="00AD3A5B">
      <w:pPr>
        <w:spacing w:line="360" w:lineRule="auto"/>
        <w:rPr>
          <w:rFonts w:ascii="Verdana" w:hAnsi="Verdana"/>
          <w:sz w:val="24"/>
          <w:szCs w:val="24"/>
          <w:lang w:val="en-US"/>
        </w:rPr>
      </w:pPr>
    </w:p>
    <w:p w14:paraId="2354A596" w14:textId="72A5C420" w:rsidR="00495F91" w:rsidRPr="00AD3A5B" w:rsidRDefault="00495F91" w:rsidP="00AD3A5B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D3A5B">
        <w:rPr>
          <w:rFonts w:ascii="Verdana" w:hAnsi="Verdana"/>
          <w:sz w:val="24"/>
          <w:szCs w:val="24"/>
          <w:lang w:val="en-US"/>
        </w:rPr>
        <w:t>Women with disabilities have a right to pleasurable and safe sexual experiences and/or relationships.</w:t>
      </w:r>
    </w:p>
    <w:p w14:paraId="332801CD" w14:textId="63245AE9" w:rsidR="00495F91" w:rsidRPr="00AD3A5B" w:rsidRDefault="00495F91" w:rsidP="00AD3A5B">
      <w:pPr>
        <w:spacing w:line="360" w:lineRule="auto"/>
        <w:rPr>
          <w:rFonts w:ascii="Verdana" w:hAnsi="Verdana"/>
          <w:sz w:val="24"/>
          <w:szCs w:val="24"/>
          <w:lang w:val="en-US"/>
        </w:rPr>
      </w:pPr>
      <w:r w:rsidRPr="00AD3A5B">
        <w:rPr>
          <w:rFonts w:ascii="Verdana" w:hAnsi="Verdana"/>
          <w:sz w:val="24"/>
          <w:szCs w:val="24"/>
          <w:lang w:val="en-US"/>
        </w:rPr>
        <w:t>Many workers and health professionals assume or believe negative stereotypes. Such as, disabled women aren’t having sex or shouldn’t have sex.</w:t>
      </w:r>
    </w:p>
    <w:p w14:paraId="7620699C" w14:textId="0E69A8C0" w:rsidR="008B18F7" w:rsidRPr="00AD3A5B" w:rsidRDefault="008B18F7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</w:pPr>
      <w:r w:rsidRPr="00AD3A5B">
        <w:rPr>
          <w:rFonts w:ascii="Verdana" w:eastAsia="Verdana" w:hAnsi="Verdana" w:cs="Roboto Light"/>
          <w:kern w:val="24"/>
          <w:lang w:val="en-US"/>
        </w:rPr>
        <w:t xml:space="preserve">As a result, women with disabilities have far less knowledge about SRH and their rights. Low levels of sex education often translate to risky </w:t>
      </w:r>
      <w:r w:rsidR="000C5062" w:rsidRPr="00AD3A5B">
        <w:rPr>
          <w:rFonts w:ascii="Verdana" w:eastAsia="Verdana" w:hAnsi="Verdana" w:cs="Roboto Light"/>
          <w:kern w:val="24"/>
          <w:lang w:val="en-US"/>
        </w:rPr>
        <w:t xml:space="preserve">sexual </w:t>
      </w:r>
      <w:proofErr w:type="spellStart"/>
      <w:r w:rsidRPr="00AD3A5B">
        <w:rPr>
          <w:rFonts w:ascii="Verdana" w:eastAsia="Verdana" w:hAnsi="Verdana" w:cs="Roboto Light"/>
          <w:kern w:val="24"/>
          <w:lang w:val="en-US"/>
        </w:rPr>
        <w:t>sexual</w:t>
      </w:r>
      <w:proofErr w:type="spellEnd"/>
      <w:r w:rsidRPr="00AD3A5B">
        <w:rPr>
          <w:rFonts w:ascii="Verdana" w:eastAsia="Verdana" w:hAnsi="Verdana" w:cs="Roboto Light"/>
          <w:kern w:val="24"/>
          <w:lang w:val="en-US"/>
        </w:rPr>
        <w:t xml:space="preserve"> behaviours.</w:t>
      </w:r>
      <w:r w:rsidRPr="00AD3A5B"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  <w:t>1</w:t>
      </w:r>
    </w:p>
    <w:p w14:paraId="69D054DB" w14:textId="77777777" w:rsidR="008B18F7" w:rsidRPr="00AD3A5B" w:rsidRDefault="008B18F7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</w:pPr>
    </w:p>
    <w:p w14:paraId="56AD1F8A" w14:textId="027DDF8E" w:rsidR="008B18F7" w:rsidRPr="00AD3A5B" w:rsidRDefault="008B18F7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lang w:val="en-US"/>
        </w:rPr>
      </w:pPr>
      <w:r w:rsidRPr="00AD3A5B">
        <w:rPr>
          <w:rFonts w:ascii="Verdana" w:eastAsia="Verdana" w:hAnsi="Verdana" w:cs="Roboto Light"/>
          <w:kern w:val="24"/>
          <w:position w:val="13"/>
          <w:lang w:val="en-US"/>
        </w:rPr>
        <w:t>Women with disabilities experience higher rates of sexual violence.</w:t>
      </w:r>
    </w:p>
    <w:p w14:paraId="665A9D4E" w14:textId="58DF3482" w:rsidR="000C5062" w:rsidRPr="00AD3A5B" w:rsidRDefault="008B18F7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</w:pPr>
      <w:r w:rsidRPr="00AD3A5B">
        <w:rPr>
          <w:rFonts w:ascii="Verdana" w:eastAsia="Verdana" w:hAnsi="Verdana" w:cs="Roboto Light"/>
          <w:kern w:val="24"/>
          <w:position w:val="13"/>
          <w:lang w:val="en-US"/>
        </w:rPr>
        <w:t>From the age of 15, 46% of women with cognitive disability and 50% of women with psychological disability will experience sexual violence compared to 16% of women without a disability.</w:t>
      </w:r>
      <w:r w:rsidRPr="00AD3A5B"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  <w:t>2</w:t>
      </w:r>
    </w:p>
    <w:p w14:paraId="20C4FF31" w14:textId="77777777" w:rsidR="000C5062" w:rsidRPr="00AD3A5B" w:rsidRDefault="000C5062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</w:pPr>
    </w:p>
    <w:p w14:paraId="23658D4D" w14:textId="34E47D5F" w:rsidR="009B7B9E" w:rsidRPr="00AD3A5B" w:rsidRDefault="009B7B9E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theme="minorBidi"/>
          <w:kern w:val="24"/>
        </w:rPr>
      </w:pPr>
      <w:r w:rsidRPr="00AD3A5B">
        <w:rPr>
          <w:rFonts w:ascii="Verdana" w:eastAsia="Verdana" w:hAnsi="Verdana" w:cstheme="minorBidi"/>
          <w:kern w:val="24"/>
        </w:rPr>
        <w:t>Women with disabilities have a unique experience of reproductive coercion</w:t>
      </w:r>
      <w:r w:rsidRPr="00AD3A5B">
        <w:rPr>
          <w:rFonts w:ascii="Verdana" w:eastAsia="Verdana" w:hAnsi="Verdana" w:cstheme="minorBidi"/>
          <w:kern w:val="24"/>
        </w:rPr>
        <w:t>.</w:t>
      </w:r>
    </w:p>
    <w:p w14:paraId="1FEBD694" w14:textId="77777777" w:rsidR="009B7B9E" w:rsidRPr="00AD3A5B" w:rsidRDefault="009B7B9E" w:rsidP="00AD3A5B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AD3A5B">
        <w:rPr>
          <w:rFonts w:ascii="Verdana" w:eastAsia="Verdana" w:hAnsi="Verdana" w:cstheme="minorBidi"/>
          <w:kern w:val="24"/>
        </w:rPr>
        <w:t>WWD experience reproductive coercion from partners, family members, and health professionals.</w:t>
      </w:r>
    </w:p>
    <w:p w14:paraId="416893F7" w14:textId="77777777" w:rsidR="009D5E7A" w:rsidRPr="00AD3A5B" w:rsidRDefault="009D5E7A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lang w:val="en-US"/>
        </w:rPr>
      </w:pPr>
      <w:r w:rsidRPr="00AD3A5B">
        <w:rPr>
          <w:rFonts w:ascii="Verdana" w:eastAsia="Verdana" w:hAnsi="Verdana" w:cs="Roboto Light"/>
          <w:kern w:val="24"/>
          <w:lang w:val="en-US"/>
        </w:rPr>
        <w:t>Long-acting reversible contraception (LARC) are often misused in WWD – and more likely to be used in women with intellectual disabilities.</w:t>
      </w:r>
    </w:p>
    <w:p w14:paraId="3FA721EE" w14:textId="24EC22BB" w:rsidR="009D5E7A" w:rsidRPr="00AD3A5B" w:rsidRDefault="009D5E7A" w:rsidP="00AD3A5B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 w:rsidRPr="00AD3A5B">
        <w:rPr>
          <w:rFonts w:ascii="Verdana" w:eastAsia="Verdana" w:hAnsi="Verdana" w:cs="Roboto Light"/>
          <w:kern w:val="24"/>
          <w:lang w:val="en-US"/>
        </w:rPr>
        <w:lastRenderedPageBreak/>
        <w:t>WWD are far more likely to be prescribed Implanon</w:t>
      </w:r>
      <w:r w:rsidR="00804A8B" w:rsidRPr="00AD3A5B">
        <w:rPr>
          <w:rFonts w:ascii="Verdana" w:hAnsi="Verdana"/>
        </w:rPr>
        <w:t xml:space="preserve"> </w:t>
      </w:r>
      <w:r w:rsidRPr="00AD3A5B">
        <w:rPr>
          <w:rFonts w:ascii="Verdana" w:eastAsia="Verdana" w:hAnsi="Verdana" w:cs="Roboto Light"/>
          <w:kern w:val="24"/>
          <w:lang w:val="en-US"/>
        </w:rPr>
        <w:t>(contraceptive implant) and Depo Provera (contraceptive injection) compared with non-disabled women.</w:t>
      </w:r>
      <w:r w:rsidRPr="00AD3A5B"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  <w:t>3</w:t>
      </w:r>
    </w:p>
    <w:p w14:paraId="0382C4CC" w14:textId="34AEE819" w:rsidR="0055401C" w:rsidRPr="00AD3A5B" w:rsidRDefault="0055401C" w:rsidP="00AD3A5B">
      <w:pPr>
        <w:pStyle w:val="NormalWeb"/>
        <w:spacing w:before="0" w:beforeAutospacing="0" w:after="0" w:afterAutospacing="0" w:line="360" w:lineRule="auto"/>
        <w:rPr>
          <w:rFonts w:ascii="Verdana" w:hAnsi="Verdana"/>
          <w:vertAlign w:val="superscript"/>
        </w:rPr>
      </w:pPr>
      <w:r w:rsidRPr="00AD3A5B">
        <w:rPr>
          <w:rFonts w:ascii="Verdana" w:hAnsi="Verdana"/>
        </w:rPr>
        <w:t>Contraception discussions with W</w:t>
      </w:r>
      <w:r w:rsidR="00DC05FC" w:rsidRPr="00AD3A5B">
        <w:rPr>
          <w:rFonts w:ascii="Verdana" w:hAnsi="Verdana"/>
        </w:rPr>
        <w:t>W</w:t>
      </w:r>
      <w:r w:rsidRPr="00AD3A5B">
        <w:rPr>
          <w:rFonts w:ascii="Verdana" w:hAnsi="Verdana"/>
        </w:rPr>
        <w:t>D</w:t>
      </w:r>
      <w:r w:rsidR="00DC05FC" w:rsidRPr="00AD3A5B">
        <w:rPr>
          <w:rFonts w:ascii="Verdana" w:hAnsi="Verdana"/>
        </w:rPr>
        <w:t xml:space="preserve"> often lack informed consent</w:t>
      </w:r>
      <w:r w:rsidR="00CE740C" w:rsidRPr="00AD3A5B">
        <w:rPr>
          <w:rFonts w:ascii="Verdana" w:hAnsi="Verdana"/>
        </w:rPr>
        <w:t>, and a lack of discussion on fertility or how it works.</w:t>
      </w:r>
      <w:r w:rsidR="00CE740C" w:rsidRPr="00AD3A5B">
        <w:rPr>
          <w:rFonts w:ascii="Verdana" w:hAnsi="Verdana"/>
          <w:vertAlign w:val="superscript"/>
        </w:rPr>
        <w:t>4</w:t>
      </w:r>
    </w:p>
    <w:p w14:paraId="6365002B" w14:textId="076CDE39" w:rsidR="009D5E7A" w:rsidRPr="00AD3A5B" w:rsidRDefault="00804A8B" w:rsidP="00AD3A5B">
      <w:pPr>
        <w:pStyle w:val="NormalWeb"/>
        <w:spacing w:before="0" w:beforeAutospacing="0" w:after="0" w:afterAutospacing="0" w:line="360" w:lineRule="auto"/>
        <w:rPr>
          <w:rFonts w:ascii="Verdana" w:eastAsia="Verdana" w:hAnsi="Verdana" w:cstheme="minorBidi"/>
          <w:kern w:val="24"/>
          <w:vertAlign w:val="superscript"/>
          <w:lang w:val="en-US"/>
        </w:rPr>
      </w:pPr>
      <w:r w:rsidRPr="00AD3A5B">
        <w:rPr>
          <w:rFonts w:ascii="Verdana" w:eastAsia="Verdana" w:hAnsi="Verdana" w:cstheme="minorBidi"/>
          <w:kern w:val="24"/>
          <w:lang w:val="en-US"/>
        </w:rPr>
        <w:t>Sterilisation of WWD is still common. It is against human rights, but not illegal in Australia</w:t>
      </w:r>
      <w:r w:rsidR="00AD3A5B" w:rsidRPr="00AD3A5B">
        <w:rPr>
          <w:rFonts w:ascii="Verdana" w:eastAsia="Verdana" w:hAnsi="Verdana" w:cstheme="minorBidi"/>
          <w:kern w:val="24"/>
          <w:lang w:val="en-US"/>
        </w:rPr>
        <w:t>.</w:t>
      </w:r>
      <w:r w:rsidR="00AD3A5B" w:rsidRPr="00AD3A5B">
        <w:rPr>
          <w:rFonts w:ascii="Verdana" w:eastAsia="Verdana" w:hAnsi="Verdana" w:cstheme="minorBidi"/>
          <w:kern w:val="24"/>
          <w:vertAlign w:val="superscript"/>
          <w:lang w:val="en-US"/>
        </w:rPr>
        <w:t>5</w:t>
      </w:r>
    </w:p>
    <w:p w14:paraId="716DB914" w14:textId="58BAEB5B" w:rsidR="00AD3A5B" w:rsidRPr="00AD3A5B" w:rsidRDefault="00AD3A5B" w:rsidP="00AD3A5B">
      <w:pPr>
        <w:pStyle w:val="NormalWeb"/>
        <w:spacing w:before="0" w:beforeAutospacing="0" w:after="0" w:afterAutospacing="0" w:line="360" w:lineRule="auto"/>
        <w:rPr>
          <w:rFonts w:ascii="Verdana" w:hAnsi="Verdana"/>
          <w:vertAlign w:val="superscript"/>
        </w:rPr>
      </w:pPr>
      <w:r w:rsidRPr="00AD3A5B">
        <w:rPr>
          <w:rFonts w:ascii="Verdana" w:eastAsia="Verdana" w:hAnsi="Verdana" w:cstheme="minorBidi"/>
          <w:kern w:val="24"/>
          <w:lang w:val="en-US"/>
        </w:rPr>
        <w:t>Sterilisation is a misguided attempt to manage menstruation and to prevent pregnancy in cases of sexual violence.</w:t>
      </w:r>
      <w:r w:rsidRPr="00AD3A5B">
        <w:rPr>
          <w:rFonts w:ascii="Verdana" w:eastAsia="Verdana" w:hAnsi="Verdana" w:cstheme="minorBidi"/>
          <w:kern w:val="24"/>
          <w:vertAlign w:val="superscript"/>
          <w:lang w:val="en-US"/>
        </w:rPr>
        <w:t>6</w:t>
      </w:r>
    </w:p>
    <w:p w14:paraId="732F5983" w14:textId="77777777" w:rsidR="009B7B9E" w:rsidRDefault="009B7B9E" w:rsidP="00AD3A5B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</w:p>
    <w:p w14:paraId="79E9D832" w14:textId="2F9ED437" w:rsidR="00704D2E" w:rsidRPr="00025FA8" w:rsidRDefault="00704D2E" w:rsidP="00025FA8">
      <w:pPr>
        <w:pStyle w:val="NormalWeb"/>
        <w:spacing w:before="0" w:beforeAutospacing="0" w:after="0" w:afterAutospacing="0" w:line="360" w:lineRule="auto"/>
      </w:pPr>
      <w:r w:rsidRPr="00025FA8">
        <w:rPr>
          <w:rFonts w:ascii="Verdana" w:eastAsia="Verdana" w:hAnsi="Verdana" w:cstheme="minorBidi"/>
          <w:kern w:val="24"/>
        </w:rPr>
        <w:t>Women with disabilities face unique challenges in seeking support for their sexual and reproductive health</w:t>
      </w:r>
      <w:r w:rsidR="00025FA8">
        <w:rPr>
          <w:rFonts w:ascii="Verdana" w:eastAsia="Verdana" w:hAnsi="Verdana" w:cstheme="minorBidi"/>
          <w:kern w:val="24"/>
        </w:rPr>
        <w:t>.</w:t>
      </w:r>
    </w:p>
    <w:p w14:paraId="2742BC2F" w14:textId="77777777" w:rsidR="00704D2E" w:rsidRPr="00025FA8" w:rsidRDefault="00704D2E" w:rsidP="00025FA8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</w:pPr>
      <w:r w:rsidRPr="00025FA8">
        <w:rPr>
          <w:rFonts w:ascii="Verdana" w:eastAsia="Verdana" w:hAnsi="Verdana" w:cs="Roboto Light"/>
          <w:kern w:val="24"/>
          <w:lang w:val="en-US"/>
        </w:rPr>
        <w:t>Women with disabilities are less likely to report violence or access support services. Their experiences of violence are more likely to be </w:t>
      </w:r>
      <w:proofErr w:type="spellStart"/>
      <w:r w:rsidRPr="00025FA8">
        <w:rPr>
          <w:rFonts w:ascii="Verdana" w:eastAsia="Verdana" w:hAnsi="Verdana" w:cs="Roboto Light"/>
          <w:kern w:val="24"/>
          <w:lang w:val="en-US"/>
        </w:rPr>
        <w:t>minimised</w:t>
      </w:r>
      <w:proofErr w:type="spellEnd"/>
      <w:r w:rsidRPr="00025FA8">
        <w:rPr>
          <w:rFonts w:ascii="Verdana" w:eastAsia="Verdana" w:hAnsi="Verdana" w:cs="Roboto Light"/>
          <w:kern w:val="24"/>
          <w:lang w:val="en-US"/>
        </w:rPr>
        <w:t xml:space="preserve">, </w:t>
      </w:r>
      <w:proofErr w:type="gramStart"/>
      <w:r w:rsidRPr="00025FA8">
        <w:rPr>
          <w:rFonts w:ascii="Verdana" w:eastAsia="Verdana" w:hAnsi="Verdana" w:cs="Roboto Light"/>
          <w:kern w:val="24"/>
          <w:lang w:val="en-US"/>
        </w:rPr>
        <w:t>discredited</w:t>
      </w:r>
      <w:proofErr w:type="gramEnd"/>
      <w:r w:rsidRPr="00025FA8">
        <w:rPr>
          <w:rFonts w:ascii="Verdana" w:eastAsia="Verdana" w:hAnsi="Verdana" w:cs="Roboto Light"/>
          <w:kern w:val="24"/>
          <w:lang w:val="en-US"/>
        </w:rPr>
        <w:t xml:space="preserve"> or ignored.</w:t>
      </w:r>
      <w:r w:rsidRPr="00025FA8">
        <w:rPr>
          <w:rFonts w:ascii="Verdana" w:eastAsia="Verdana" w:hAnsi="Verdana" w:cs="Roboto Light"/>
          <w:kern w:val="24"/>
          <w:position w:val="13"/>
          <w:vertAlign w:val="superscript"/>
          <w:lang w:val="en-US"/>
        </w:rPr>
        <w:t>7</w:t>
      </w:r>
    </w:p>
    <w:p w14:paraId="7EBAE625" w14:textId="77777777" w:rsidR="00025FA8" w:rsidRPr="00025FA8" w:rsidRDefault="00025FA8" w:rsidP="00025FA8">
      <w:pPr>
        <w:pStyle w:val="NormalWeb"/>
        <w:spacing w:before="0" w:beforeAutospacing="0" w:after="0" w:afterAutospacing="0" w:line="360" w:lineRule="auto"/>
      </w:pPr>
      <w:r w:rsidRPr="00025FA8">
        <w:rPr>
          <w:rFonts w:ascii="Verdana" w:eastAsia="Verdana" w:hAnsi="Verdana" w:cstheme="minorBidi"/>
          <w:kern w:val="24"/>
        </w:rPr>
        <w:t>Women with disabilities are less likely to receive appropriate sexual and reproductive health care support due to:</w:t>
      </w:r>
    </w:p>
    <w:p w14:paraId="631C0AF5" w14:textId="77777777" w:rsidR="00025FA8" w:rsidRPr="00025FA8" w:rsidRDefault="00025FA8" w:rsidP="00025FA8">
      <w:pPr>
        <w:pStyle w:val="ListParagraph"/>
        <w:numPr>
          <w:ilvl w:val="1"/>
          <w:numId w:val="1"/>
        </w:numPr>
        <w:spacing w:line="360" w:lineRule="auto"/>
      </w:pPr>
      <w:r w:rsidRPr="00025FA8">
        <w:rPr>
          <w:rFonts w:ascii="Verdana" w:eastAsia="Verdana" w:hAnsi="Verdana" w:cs="Roboto Light"/>
          <w:kern w:val="24"/>
          <w:lang w:val="en-US"/>
        </w:rPr>
        <w:t>Negative attitudes towards sex and disability from healthcare providers</w:t>
      </w:r>
    </w:p>
    <w:p w14:paraId="45DD3A09" w14:textId="77777777" w:rsidR="00025FA8" w:rsidRPr="00025FA8" w:rsidRDefault="00025FA8" w:rsidP="00025FA8">
      <w:pPr>
        <w:pStyle w:val="ListParagraph"/>
        <w:numPr>
          <w:ilvl w:val="1"/>
          <w:numId w:val="1"/>
        </w:numPr>
        <w:spacing w:line="360" w:lineRule="auto"/>
      </w:pPr>
      <w:r w:rsidRPr="00025FA8">
        <w:rPr>
          <w:rFonts w:ascii="Verdana" w:eastAsia="Verdana" w:hAnsi="Verdana" w:cstheme="minorBidi"/>
          <w:kern w:val="24"/>
        </w:rPr>
        <w:t>Inaccessible information and communication</w:t>
      </w:r>
    </w:p>
    <w:p w14:paraId="53084DB9" w14:textId="77777777" w:rsidR="00025FA8" w:rsidRPr="00A36628" w:rsidRDefault="00025FA8" w:rsidP="00025FA8">
      <w:pPr>
        <w:pStyle w:val="ListParagraph"/>
        <w:numPr>
          <w:ilvl w:val="1"/>
          <w:numId w:val="1"/>
        </w:numPr>
        <w:spacing w:line="360" w:lineRule="auto"/>
      </w:pPr>
      <w:r w:rsidRPr="00025FA8">
        <w:rPr>
          <w:rFonts w:ascii="Verdana" w:eastAsia="Verdana" w:hAnsi="Verdana" w:cstheme="minorBidi"/>
          <w:kern w:val="24"/>
        </w:rPr>
        <w:t>Physical barriers to services.</w:t>
      </w:r>
      <w:r w:rsidRPr="00025FA8">
        <w:rPr>
          <w:rFonts w:ascii="Verdana" w:eastAsia="Verdana" w:hAnsi="Verdana" w:cstheme="minorBidi"/>
          <w:kern w:val="24"/>
          <w:position w:val="7"/>
          <w:vertAlign w:val="superscript"/>
        </w:rPr>
        <w:t xml:space="preserve"> 8</w:t>
      </w:r>
    </w:p>
    <w:p w14:paraId="4DF5BA7A" w14:textId="77777777" w:rsidR="00A36628" w:rsidRDefault="00A36628" w:rsidP="00A36628">
      <w:pPr>
        <w:spacing w:line="360" w:lineRule="auto"/>
      </w:pPr>
    </w:p>
    <w:p w14:paraId="3A092C58" w14:textId="77777777" w:rsidR="00A36628" w:rsidRDefault="00A36628" w:rsidP="00A36628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color w:val="000000" w:themeColor="text1"/>
          <w:kern w:val="24"/>
          <w:lang w:val="en-US"/>
        </w:rPr>
      </w:pPr>
    </w:p>
    <w:p w14:paraId="2287E490" w14:textId="792C2627" w:rsidR="00A36628" w:rsidRDefault="00A36628" w:rsidP="00A36628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color w:val="000000" w:themeColor="text1"/>
          <w:kern w:val="24"/>
          <w:lang w:val="en-US"/>
        </w:rPr>
      </w:pPr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>Th</w:t>
      </w:r>
      <w:r>
        <w:rPr>
          <w:rFonts w:ascii="Verdana" w:eastAsia="Verdana" w:hAnsi="Verdana" w:cs="Roboto Light"/>
          <w:color w:val="000000" w:themeColor="text1"/>
          <w:kern w:val="24"/>
          <w:lang w:val="en-US"/>
        </w:rPr>
        <w:t>is</w:t>
      </w:r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 xml:space="preserve"> resource was produced by Women with Disabilities Victoria with funding from the Victorian Government Department of Health. This resource was created in </w:t>
      </w:r>
      <w:proofErr w:type="spellStart"/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>Naarm</w:t>
      </w:r>
      <w:proofErr w:type="spellEnd"/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> (Melbourne) on the lands of the </w:t>
      </w:r>
      <w:proofErr w:type="spellStart"/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>Wurundjeri</w:t>
      </w:r>
      <w:proofErr w:type="spellEnd"/>
      <w:r w:rsidRPr="00663344">
        <w:rPr>
          <w:rFonts w:ascii="Verdana" w:eastAsia="Verdana" w:hAnsi="Verdana" w:cs="Roboto Light"/>
          <w:color w:val="000000" w:themeColor="text1"/>
          <w:kern w:val="24"/>
          <w:lang w:val="en-US"/>
        </w:rPr>
        <w:t> peoples of the Kulin Nation. Always was, always will be Aboriginal land.</w:t>
      </w:r>
    </w:p>
    <w:p w14:paraId="5258211B" w14:textId="77777777" w:rsidR="00A36628" w:rsidRDefault="00A36628" w:rsidP="00A36628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color w:val="000000" w:themeColor="text1"/>
          <w:kern w:val="24"/>
          <w:lang w:val="en-US"/>
        </w:rPr>
      </w:pPr>
    </w:p>
    <w:p w14:paraId="19FAFCE0" w14:textId="77777777" w:rsidR="00A36628" w:rsidRDefault="00A36628" w:rsidP="00A36628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color w:val="000000" w:themeColor="text1"/>
          <w:kern w:val="24"/>
          <w:lang w:val="en-US"/>
        </w:rPr>
      </w:pPr>
      <w:r>
        <w:rPr>
          <w:rFonts w:ascii="Verdana" w:eastAsia="Verdana" w:hAnsi="Verdana" w:cs="Roboto Light"/>
          <w:color w:val="000000" w:themeColor="text1"/>
          <w:kern w:val="24"/>
          <w:lang w:val="en-US"/>
        </w:rPr>
        <w:t xml:space="preserve">Updated February 2024 </w:t>
      </w:r>
    </w:p>
    <w:p w14:paraId="6D6594A0" w14:textId="427DE19E" w:rsidR="00A36628" w:rsidRPr="00A36628" w:rsidRDefault="00A36628" w:rsidP="00A36628">
      <w:pPr>
        <w:pStyle w:val="NormalWeb"/>
        <w:spacing w:before="0" w:beforeAutospacing="0" w:after="0" w:afterAutospacing="0" w:line="360" w:lineRule="auto"/>
        <w:rPr>
          <w:rFonts w:ascii="Verdana" w:hAnsi="Verdana"/>
        </w:rPr>
      </w:pPr>
      <w:r>
        <w:rPr>
          <w:rFonts w:ascii="Verdana" w:eastAsia="Verdana" w:hAnsi="Verdana" w:cs="Roboto Light"/>
          <w:color w:val="000000" w:themeColor="text1"/>
          <w:kern w:val="24"/>
          <w:lang w:val="en-US"/>
        </w:rPr>
        <w:t xml:space="preserve">Please be thoughtful of the environment when disposing of this document. </w:t>
      </w:r>
    </w:p>
    <w:p w14:paraId="5ABC3FC0" w14:textId="3622BAD0" w:rsidR="000C5062" w:rsidRPr="00C802E6" w:rsidRDefault="00730BCA" w:rsidP="00C802E6">
      <w:pPr>
        <w:pStyle w:val="NormalWeb"/>
        <w:spacing w:before="0" w:beforeAutospacing="0" w:after="0" w:afterAutospacing="0" w:line="360" w:lineRule="auto"/>
        <w:jc w:val="center"/>
        <w:rPr>
          <w:rFonts w:ascii="Verdana" w:eastAsia="Verdana" w:hAnsi="Verdana" w:cstheme="majorBidi"/>
          <w:b/>
          <w:bCs/>
          <w:kern w:val="24"/>
          <w:sz w:val="36"/>
          <w:szCs w:val="36"/>
          <w:lang w:val="en-US"/>
        </w:rPr>
      </w:pPr>
      <w:r w:rsidRPr="00C802E6">
        <w:rPr>
          <w:rFonts w:ascii="Verdana" w:eastAsia="Verdana" w:hAnsi="Verdana" w:cstheme="majorBidi"/>
          <w:b/>
          <w:bCs/>
          <w:kern w:val="24"/>
          <w:sz w:val="36"/>
          <w:szCs w:val="36"/>
        </w:rPr>
        <w:lastRenderedPageBreak/>
        <w:t>Facts on Sexual and Reproductive Health for Women with Disabilities</w:t>
      </w:r>
      <w:r w:rsidRPr="00C802E6">
        <w:rPr>
          <w:rFonts w:ascii="Verdana" w:eastAsia="Verdana" w:hAnsi="Verdana" w:cstheme="majorBidi"/>
          <w:b/>
          <w:bCs/>
          <w:kern w:val="24"/>
          <w:sz w:val="36"/>
          <w:szCs w:val="36"/>
          <w:lang w:val="en-US"/>
        </w:rPr>
        <w:t>: Sources</w:t>
      </w:r>
    </w:p>
    <w:p w14:paraId="662CFB87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</w:rPr>
        <w:t>Lameiras-Fernández, M., Martínez-Román, R., Carrera-Fernández, M., &amp; Rodríguez-Castro, Y. (2021).  Sex Education in the Spotlight: What Is Working? Systematic Review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>. International Journal of Environmental Research and Public Health, 18</w:t>
      </w:r>
      <w:r w:rsidRPr="00A36628">
        <w:rPr>
          <w:rFonts w:ascii="Verdana" w:eastAsia="Verdana" w:hAnsi="Verdana"/>
          <w:color w:val="000000" w:themeColor="text1"/>
          <w:kern w:val="24"/>
        </w:rPr>
        <w:t xml:space="preserve">(5), 2555. https://doi.org/10.3390/ijerph18052555. </w:t>
      </w:r>
    </w:p>
    <w:p w14:paraId="66BA44EE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 xml:space="preserve">Royal Commission in Violence, Abuse, Neglect and Exploitation of People with Disability. (2021).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 xml:space="preserve">Nature and extent of violence, abuse, </w:t>
      </w:r>
      <w:proofErr w:type="gramStart"/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>neglect</w:t>
      </w:r>
      <w:proofErr w:type="gramEnd"/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 xml:space="preserve"> and exploitation against people with disability in Australia, </w:t>
      </w: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Centre of Research Excellence in Disability and Health. https://disability.royalcommission.gov.au/publications/research-report-nature-and-extent-violence-abuse-neglect-and-exploitation-against-people-disability-Australia.</w:t>
      </w:r>
    </w:p>
    <w:p w14:paraId="12F344F7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Horner-Johnson, W., Moe, E., Stoner, M., et al. (2019). Contraceptive knowledge and use among women with intellectual, physical, or sensory disabilities: A systematic review. 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>Disability and Health Journal, 12</w:t>
      </w: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 xml:space="preserve">(2), 139-154. https://doi.org/10.1016/j.dhjo.2018.11.006. </w:t>
      </w:r>
    </w:p>
    <w:p w14:paraId="19A97DCB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Matin, B., Ballan, M., Darabi, F., et al. (2021). Sexual health concerns in women with intellectual disabilities: a systematic review in qualitative studies. 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 xml:space="preserve">BMC Public Health, 21, </w:t>
      </w: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1965. https://doi.org/10.1186/s12889-021-12027-6.</w:t>
      </w:r>
    </w:p>
    <w:p w14:paraId="164B81DB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 xml:space="preserve">People With Disability Australia. (2013).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>The Involuntary or Coerced Sterilisation of People with Disabilities in Australia</w:t>
      </w: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. Submission No 50 to Senate Standing Committee on Community Affairs. </w:t>
      </w:r>
    </w:p>
    <w:p w14:paraId="69C16F5F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</w:rPr>
        <w:t xml:space="preserve">Steele, L., Goldblatt, B. (2020). The Human Rights of Women and Girls with Disabilities: Sterilization and Other Coercive Responses to Menstruation.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>The Palgrave Handbook of Critical Menstruation Studies</w:t>
      </w:r>
      <w:r w:rsidRPr="00A36628">
        <w:rPr>
          <w:rFonts w:ascii="Verdana" w:eastAsia="Verdana" w:hAnsi="Verdana"/>
          <w:color w:val="000000" w:themeColor="text1"/>
          <w:kern w:val="24"/>
        </w:rPr>
        <w:t xml:space="preserve">. Palgrave Macmillan. https://doi.org/10.1007/978-981-15-0614-7_8. </w:t>
      </w:r>
    </w:p>
    <w:p w14:paraId="3CDA6DEC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 xml:space="preserve">Royal Commission into Violence, Abuse, Neglect and Exploitation of People with Disability. (2022).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  <w:lang w:val="en-US"/>
        </w:rPr>
        <w:t xml:space="preserve">Overview of responses to the Violence and abuse of people with disability at home Issues paper. </w:t>
      </w:r>
      <w:r w:rsidRPr="00A36628">
        <w:rPr>
          <w:rFonts w:ascii="Verdana" w:eastAsia="Verdana" w:hAnsi="Verdana"/>
          <w:color w:val="000000" w:themeColor="text1"/>
          <w:kern w:val="24"/>
          <w:lang w:val="en-US"/>
        </w:rPr>
        <w:t>https://disability.royalcommission.gov.au/system/files/2022-03/Overview%20of%20responses%20to%20the%20Violence%20and%20abuse%20of%20people%20with%20disability%20at%20home%20Issues%20paper_0.pdf.</w:t>
      </w:r>
    </w:p>
    <w:p w14:paraId="22B7CB7B" w14:textId="77777777" w:rsidR="00956B80" w:rsidRPr="00A36628" w:rsidRDefault="00956B80" w:rsidP="00956B80">
      <w:pPr>
        <w:pStyle w:val="ListParagraph"/>
        <w:numPr>
          <w:ilvl w:val="0"/>
          <w:numId w:val="2"/>
        </w:numPr>
      </w:pPr>
      <w:r w:rsidRPr="00A36628">
        <w:rPr>
          <w:rFonts w:ascii="Verdana" w:eastAsia="Verdana" w:hAnsi="Verdana"/>
          <w:color w:val="000000" w:themeColor="text1"/>
          <w:kern w:val="24"/>
        </w:rPr>
        <w:t xml:space="preserve">Matin, B., Williamson, J., </w:t>
      </w:r>
      <w:proofErr w:type="spellStart"/>
      <w:r w:rsidRPr="00A36628">
        <w:rPr>
          <w:rFonts w:ascii="Verdana" w:eastAsia="Verdana" w:hAnsi="Verdana"/>
          <w:color w:val="000000" w:themeColor="text1"/>
          <w:kern w:val="24"/>
        </w:rPr>
        <w:t>Karyani</w:t>
      </w:r>
      <w:proofErr w:type="spellEnd"/>
      <w:r w:rsidRPr="00A36628">
        <w:rPr>
          <w:rFonts w:ascii="Verdana" w:eastAsia="Verdana" w:hAnsi="Verdana"/>
          <w:color w:val="000000" w:themeColor="text1"/>
          <w:kern w:val="24"/>
        </w:rPr>
        <w:t xml:space="preserve">, A., et al. (2021). Barriers in access to healthcare for women with disabilities: a systematic review in qualitative studies.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 xml:space="preserve">BMC </w:t>
      </w:r>
      <w:proofErr w:type="spellStart"/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>Womens</w:t>
      </w:r>
      <w:proofErr w:type="spellEnd"/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 xml:space="preserve"> Health</w:t>
      </w:r>
      <w:r w:rsidRPr="00A36628">
        <w:rPr>
          <w:rFonts w:ascii="Verdana" w:eastAsia="Verdana" w:hAnsi="Verdana"/>
          <w:color w:val="000000" w:themeColor="text1"/>
          <w:kern w:val="24"/>
        </w:rPr>
        <w:t xml:space="preserve">, </w:t>
      </w:r>
      <w:r w:rsidRPr="00A36628">
        <w:rPr>
          <w:rFonts w:ascii="Verdana" w:eastAsia="Verdana" w:hAnsi="Verdana"/>
          <w:i/>
          <w:iCs/>
          <w:color w:val="000000" w:themeColor="text1"/>
          <w:kern w:val="24"/>
        </w:rPr>
        <w:t>21</w:t>
      </w:r>
      <w:r w:rsidRPr="00A36628">
        <w:rPr>
          <w:rFonts w:ascii="Verdana" w:eastAsia="Verdana" w:hAnsi="Verdana"/>
          <w:color w:val="000000" w:themeColor="text1"/>
          <w:kern w:val="24"/>
        </w:rPr>
        <w:t xml:space="preserve">(1),44. https://doi.org/10.1186/s12905-021-01189-5. </w:t>
      </w:r>
    </w:p>
    <w:p w14:paraId="5785BB38" w14:textId="77777777" w:rsidR="00730BCA" w:rsidRPr="00A36628" w:rsidRDefault="00730BCA" w:rsidP="000C5062">
      <w:pPr>
        <w:pStyle w:val="NormalWeb"/>
        <w:spacing w:before="0" w:beforeAutospacing="0" w:after="0" w:afterAutospacing="0" w:line="360" w:lineRule="auto"/>
        <w:rPr>
          <w:rFonts w:ascii="Verdana" w:eastAsia="Verdana" w:hAnsi="Verdana" w:cs="Roboto Light"/>
          <w:color w:val="000000" w:themeColor="text1"/>
          <w:kern w:val="24"/>
          <w:position w:val="13"/>
          <w:vertAlign w:val="superscript"/>
          <w:lang w:val="en-US"/>
        </w:rPr>
      </w:pPr>
    </w:p>
    <w:p w14:paraId="684610EE" w14:textId="548083B3" w:rsidR="00495F91" w:rsidRPr="00A36628" w:rsidRDefault="00495F91" w:rsidP="008B18F7">
      <w:pPr>
        <w:spacing w:line="240" w:lineRule="auto"/>
        <w:rPr>
          <w:rFonts w:ascii="Verdana" w:hAnsi="Verdana"/>
          <w:sz w:val="24"/>
          <w:szCs w:val="24"/>
          <w:lang w:val="en-US"/>
        </w:rPr>
      </w:pPr>
    </w:p>
    <w:sectPr w:rsidR="00495F91" w:rsidRPr="00A3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5BA5"/>
    <w:multiLevelType w:val="hybridMultilevel"/>
    <w:tmpl w:val="2DFC67F8"/>
    <w:lvl w:ilvl="0" w:tplc="EAE6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4B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EB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A9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63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02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0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A4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6A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051A76"/>
    <w:multiLevelType w:val="hybridMultilevel"/>
    <w:tmpl w:val="C11CF51A"/>
    <w:lvl w:ilvl="0" w:tplc="6846A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3D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7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E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2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2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EC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0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A5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1422886">
    <w:abstractNumId w:val="1"/>
  </w:num>
  <w:num w:numId="2" w16cid:durableId="137561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39"/>
    <w:rsid w:val="00025FA8"/>
    <w:rsid w:val="000C5062"/>
    <w:rsid w:val="00495F91"/>
    <w:rsid w:val="0055401C"/>
    <w:rsid w:val="00663344"/>
    <w:rsid w:val="00704D2E"/>
    <w:rsid w:val="00730BCA"/>
    <w:rsid w:val="00804A8B"/>
    <w:rsid w:val="008B18F7"/>
    <w:rsid w:val="00956B80"/>
    <w:rsid w:val="009B7B9E"/>
    <w:rsid w:val="009D5E7A"/>
    <w:rsid w:val="00A05C4B"/>
    <w:rsid w:val="00A36628"/>
    <w:rsid w:val="00AD3A5B"/>
    <w:rsid w:val="00C802E6"/>
    <w:rsid w:val="00CA781D"/>
    <w:rsid w:val="00CE740C"/>
    <w:rsid w:val="00D428B0"/>
    <w:rsid w:val="00D81B2A"/>
    <w:rsid w:val="00DC05FC"/>
    <w:rsid w:val="00E1428B"/>
    <w:rsid w:val="00E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D7D5"/>
  <w15:chartTrackingRefBased/>
  <w15:docId w15:val="{08BBA8C6-62ED-428D-AB53-A4E64D59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025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1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6" ma:contentTypeDescription="Create a new document." ma:contentTypeScope="" ma:versionID="7730aba968365d529b7f2415ace4d3a6">
  <xsd:schema xmlns:xsd="http://www.w3.org/2001/XMLSchema" xmlns:xs="http://www.w3.org/2001/XMLSchema" xmlns:p="http://schemas.microsoft.com/office/2006/metadata/properties" xmlns:ns2="948c7505-2916-425c-81b2-b72236dda953" xmlns:ns3="3c0bf09d-fe60-469a-bcfc-dfe7d875677d" targetNamespace="http://schemas.microsoft.com/office/2006/metadata/properties" ma:root="true" ma:fieldsID="ac69b4280bc0d6c2a6744712781a408c" ns2:_="" ns3:_="">
    <xsd:import namespace="948c7505-2916-425c-81b2-b72236dda95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c7505-2916-425c-81b2-b72236dda953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Props1.xml><?xml version="1.0" encoding="utf-8"?>
<ds:datastoreItem xmlns:ds="http://schemas.openxmlformats.org/officeDocument/2006/customXml" ds:itemID="{42F16C38-7933-478E-AAED-781BD9F55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70520-E552-47BA-A0DF-5B7C07BCE2C3}"/>
</file>

<file path=customXml/itemProps3.xml><?xml version="1.0" encoding="utf-8"?>
<ds:datastoreItem xmlns:ds="http://schemas.openxmlformats.org/officeDocument/2006/customXml" ds:itemID="{04EFB46A-183A-495C-9C5D-A67E9F08EE29}"/>
</file>

<file path=customXml/itemProps4.xml><?xml version="1.0" encoding="utf-8"?>
<ds:datastoreItem xmlns:ds="http://schemas.openxmlformats.org/officeDocument/2006/customXml" ds:itemID="{4DDEA0A9-A435-405A-B6B2-1FCDAE8D7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Jolley</dc:creator>
  <cp:keywords/>
  <dc:description/>
  <cp:lastModifiedBy>Melissa Jolley</cp:lastModifiedBy>
  <cp:revision>2</cp:revision>
  <dcterms:created xsi:type="dcterms:W3CDTF">2024-01-10T05:26:00Z</dcterms:created>
  <dcterms:modified xsi:type="dcterms:W3CDTF">2024-01-10T05:26:00Z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</Properties>
</file>